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FFFE5"/>
    <w:p w14:paraId="0B1F73C5">
      <w:pPr>
        <w:spacing w:line="540" w:lineRule="exact"/>
        <w:ind w:firstLine="1041"/>
        <w:jc w:val="center"/>
        <w:rPr>
          <w:rFonts w:eastAsia="华文中宋"/>
          <w:b/>
          <w:kern w:val="0"/>
          <w:sz w:val="52"/>
          <w:szCs w:val="52"/>
        </w:rPr>
      </w:pPr>
    </w:p>
    <w:p w14:paraId="1FE61E7A">
      <w:pPr>
        <w:spacing w:line="540" w:lineRule="exact"/>
        <w:ind w:firstLine="1041"/>
        <w:rPr>
          <w:rFonts w:eastAsia="华文中宋"/>
          <w:b/>
          <w:kern w:val="0"/>
          <w:sz w:val="52"/>
          <w:szCs w:val="52"/>
        </w:rPr>
      </w:pPr>
    </w:p>
    <w:p w14:paraId="2B0B6B09">
      <w:pPr>
        <w:spacing w:line="540" w:lineRule="exact"/>
        <w:ind w:firstLine="1041"/>
        <w:jc w:val="center"/>
        <w:rPr>
          <w:rFonts w:eastAsia="华文中宋"/>
          <w:b/>
          <w:kern w:val="0"/>
          <w:sz w:val="52"/>
          <w:szCs w:val="52"/>
        </w:rPr>
      </w:pPr>
    </w:p>
    <w:p w14:paraId="0EF987EA">
      <w:pPr>
        <w:spacing w:line="540" w:lineRule="exact"/>
        <w:ind w:firstLine="960"/>
        <w:jc w:val="center"/>
        <w:rPr>
          <w:rFonts w:ascii="方正小标宋_GBK" w:hAnsi="方正小标宋_GBK" w:eastAsia="方正小标宋_GBK" w:cs="方正小标宋_GBK"/>
          <w:kern w:val="0"/>
          <w:sz w:val="48"/>
          <w:szCs w:val="48"/>
        </w:rPr>
      </w:pPr>
      <w:r>
        <w:rPr>
          <w:rFonts w:hint="eastAsia" w:ascii="方正小标宋_GBK" w:hAnsi="方正小标宋_GBK" w:eastAsia="方正小标宋_GBK" w:cs="方正小标宋_GBK"/>
          <w:kern w:val="0"/>
          <w:sz w:val="48"/>
          <w:szCs w:val="48"/>
        </w:rPr>
        <w:t>2024年临聘人员工资资金项目支出绩效评价报告</w:t>
      </w:r>
    </w:p>
    <w:p w14:paraId="42726C39">
      <w:pPr>
        <w:spacing w:line="540" w:lineRule="exact"/>
        <w:ind w:firstLine="1041"/>
        <w:jc w:val="center"/>
        <w:rPr>
          <w:rFonts w:eastAsia="华文中宋"/>
          <w:b/>
          <w:kern w:val="0"/>
          <w:sz w:val="52"/>
          <w:szCs w:val="52"/>
        </w:rPr>
      </w:pPr>
    </w:p>
    <w:p w14:paraId="15B0090D">
      <w:pPr>
        <w:spacing w:line="540" w:lineRule="exact"/>
        <w:ind w:firstLine="720"/>
        <w:jc w:val="center"/>
        <w:rPr>
          <w:rFonts w:eastAsia="仿宋_GB2312"/>
          <w:kern w:val="0"/>
          <w:sz w:val="36"/>
          <w:szCs w:val="36"/>
        </w:rPr>
      </w:pPr>
      <w:r>
        <w:rPr>
          <w:rFonts w:eastAsia="仿宋_GB2312"/>
          <w:kern w:val="0"/>
          <w:sz w:val="36"/>
          <w:szCs w:val="36"/>
        </w:rPr>
        <w:t>（202</w:t>
      </w:r>
      <w:r>
        <w:rPr>
          <w:rFonts w:hint="eastAsia" w:eastAsia="仿宋_GB2312"/>
          <w:kern w:val="0"/>
          <w:sz w:val="36"/>
          <w:szCs w:val="36"/>
        </w:rPr>
        <w:t>4</w:t>
      </w:r>
      <w:r>
        <w:rPr>
          <w:rFonts w:eastAsia="仿宋_GB2312"/>
          <w:kern w:val="0"/>
          <w:sz w:val="36"/>
          <w:szCs w:val="36"/>
        </w:rPr>
        <w:t>年度）</w:t>
      </w:r>
    </w:p>
    <w:p w14:paraId="26B951E8">
      <w:pPr>
        <w:spacing w:line="540" w:lineRule="exact"/>
        <w:ind w:firstLine="600"/>
        <w:jc w:val="center"/>
        <w:rPr>
          <w:rFonts w:eastAsia="仿宋_GB2312"/>
          <w:kern w:val="0"/>
          <w:sz w:val="30"/>
          <w:szCs w:val="30"/>
        </w:rPr>
      </w:pPr>
    </w:p>
    <w:p w14:paraId="3AEE3A36">
      <w:pPr>
        <w:spacing w:line="540" w:lineRule="exact"/>
        <w:ind w:firstLine="600"/>
        <w:jc w:val="center"/>
        <w:rPr>
          <w:rFonts w:eastAsia="仿宋_GB2312"/>
          <w:kern w:val="0"/>
          <w:sz w:val="30"/>
          <w:szCs w:val="30"/>
        </w:rPr>
      </w:pPr>
    </w:p>
    <w:p w14:paraId="0CB98A42">
      <w:pPr>
        <w:spacing w:line="540" w:lineRule="exact"/>
        <w:ind w:firstLine="600"/>
        <w:jc w:val="center"/>
        <w:rPr>
          <w:rFonts w:eastAsia="仿宋_GB2312"/>
          <w:kern w:val="0"/>
          <w:sz w:val="30"/>
          <w:szCs w:val="30"/>
        </w:rPr>
      </w:pPr>
    </w:p>
    <w:p w14:paraId="5109D3EE">
      <w:pPr>
        <w:pStyle w:val="2"/>
      </w:pPr>
    </w:p>
    <w:p w14:paraId="520D287B">
      <w:pPr>
        <w:spacing w:line="540" w:lineRule="exact"/>
        <w:ind w:firstLine="600"/>
        <w:jc w:val="center"/>
        <w:rPr>
          <w:rFonts w:eastAsia="仿宋_GB2312"/>
          <w:kern w:val="0"/>
          <w:sz w:val="30"/>
          <w:szCs w:val="30"/>
        </w:rPr>
      </w:pPr>
    </w:p>
    <w:p w14:paraId="0A4CF5CE">
      <w:pPr>
        <w:spacing w:line="540" w:lineRule="exact"/>
        <w:ind w:firstLine="600"/>
        <w:rPr>
          <w:rFonts w:eastAsia="仿宋_GB2312"/>
          <w:kern w:val="0"/>
          <w:sz w:val="30"/>
          <w:szCs w:val="30"/>
        </w:rPr>
      </w:pPr>
    </w:p>
    <w:p w14:paraId="3D37DA0E">
      <w:pPr>
        <w:pStyle w:val="2"/>
        <w:rPr>
          <w:kern w:val="0"/>
        </w:rPr>
      </w:pPr>
    </w:p>
    <w:p w14:paraId="373E6703">
      <w:pPr>
        <w:ind w:firstLine="420"/>
      </w:pPr>
    </w:p>
    <w:p w14:paraId="22517DD4">
      <w:pPr>
        <w:ind w:firstLine="420"/>
      </w:pPr>
    </w:p>
    <w:p w14:paraId="1B825C88">
      <w:pPr>
        <w:spacing w:line="700" w:lineRule="exac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2024年临聘人员工资</w:t>
      </w:r>
    </w:p>
    <w:p w14:paraId="15F4BC61">
      <w:pPr>
        <w:spacing w:line="700" w:lineRule="exact"/>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乌鲁木齐市水磨沟区科学技术局</w:t>
      </w:r>
    </w:p>
    <w:p w14:paraId="71CF1FC6">
      <w:pPr>
        <w:spacing w:line="700" w:lineRule="exact"/>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乌鲁木齐市水磨沟区科学技术局</w:t>
      </w:r>
    </w:p>
    <w:p w14:paraId="71661470">
      <w:pPr>
        <w:spacing w:line="700" w:lineRule="exac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侯继伟</w:t>
      </w:r>
    </w:p>
    <w:p w14:paraId="455ACDDD">
      <w:pPr>
        <w:spacing w:line="700" w:lineRule="exac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2025</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2</w:t>
      </w:r>
      <w:r>
        <w:rPr>
          <w:rFonts w:eastAsia="仿宋_GB2312"/>
          <w:kern w:val="0"/>
          <w:sz w:val="36"/>
          <w:szCs w:val="36"/>
        </w:rPr>
        <w:t>日</w:t>
      </w:r>
    </w:p>
    <w:p w14:paraId="7526E8F2">
      <w:pPr>
        <w:spacing w:line="540" w:lineRule="exact"/>
        <w:ind w:firstLine="600"/>
        <w:jc w:val="center"/>
        <w:rPr>
          <w:rFonts w:eastAsia="仿宋_GB2312"/>
          <w:kern w:val="0"/>
          <w:sz w:val="30"/>
          <w:szCs w:val="30"/>
        </w:rPr>
      </w:pPr>
    </w:p>
    <w:p w14:paraId="19CBEB5A">
      <w:pPr>
        <w:spacing w:line="540" w:lineRule="exact"/>
        <w:ind w:firstLine="624"/>
        <w:rPr>
          <w:rStyle w:val="14"/>
          <w:rFonts w:eastAsia="黑体"/>
          <w:b w:val="0"/>
          <w:spacing w:val="-4"/>
          <w:sz w:val="32"/>
          <w:szCs w:val="32"/>
        </w:rPr>
        <w:sectPr>
          <w:pgSz w:w="11906" w:h="16838"/>
          <w:pgMar w:top="1440" w:right="1558" w:bottom="1440" w:left="1800" w:header="851" w:footer="992" w:gutter="0"/>
          <w:cols w:space="425" w:num="1"/>
          <w:docGrid w:type="lines" w:linePitch="312" w:charSpace="0"/>
        </w:sectPr>
      </w:pPr>
    </w:p>
    <w:p w14:paraId="3B25F450">
      <w:pPr>
        <w:spacing w:line="560" w:lineRule="exact"/>
        <w:ind w:firstLine="640" w:firstLineChars="200"/>
        <w:rPr>
          <w:rFonts w:eastAsia="黑体"/>
          <w:bCs/>
          <w:sz w:val="32"/>
          <w:szCs w:val="32"/>
        </w:rPr>
      </w:pPr>
      <w:r>
        <w:rPr>
          <w:rFonts w:eastAsia="黑体"/>
          <w:bCs/>
          <w:sz w:val="32"/>
          <w:szCs w:val="32"/>
        </w:rPr>
        <w:t>一、基本情况</w:t>
      </w:r>
    </w:p>
    <w:p w14:paraId="7EBE82B5">
      <w:pPr>
        <w:spacing w:line="560" w:lineRule="exact"/>
        <w:ind w:firstLine="643" w:firstLineChars="200"/>
        <w:rPr>
          <w:rFonts w:eastAsia="楷体_GB2312"/>
          <w:b/>
          <w:bCs/>
          <w:sz w:val="32"/>
          <w:szCs w:val="32"/>
        </w:rPr>
      </w:pPr>
      <w:r>
        <w:rPr>
          <w:rFonts w:eastAsia="楷体_GB2312"/>
          <w:b/>
          <w:bCs/>
          <w:sz w:val="32"/>
          <w:szCs w:val="32"/>
        </w:rPr>
        <w:t>（一）项目概况</w:t>
      </w:r>
    </w:p>
    <w:p w14:paraId="37313426">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1.项目背景</w:t>
      </w:r>
    </w:p>
    <w:p w14:paraId="5570C5DA">
      <w:pPr>
        <w:spacing w:line="560" w:lineRule="exact"/>
        <w:ind w:firstLine="672" w:firstLineChars="200"/>
        <w:rPr>
          <w:bCs/>
          <w:spacing w:val="8"/>
        </w:rPr>
      </w:pPr>
      <w:r>
        <w:rPr>
          <w:rFonts w:hint="eastAsia" w:ascii="仿宋_GB2312" w:hAnsi="仿宋_GB2312" w:eastAsia="仿宋_GB2312" w:cs="仿宋_GB2312"/>
          <w:spacing w:val="8"/>
          <w:sz w:val="32"/>
          <w:szCs w:val="32"/>
        </w:rPr>
        <w:t>按照水财预发〔2024〕1号-关于下达2024年水磨沟区部门预算的通知，水磨沟区科学技术局2024年临聘人员工</w:t>
      </w:r>
      <w:r>
        <w:rPr>
          <w:rFonts w:hint="eastAsia" w:ascii="仿宋_GB2312" w:hAnsi="仿宋_GB2312" w:eastAsia="仿宋_GB2312" w:cs="仿宋_GB2312"/>
          <w:spacing w:val="8"/>
          <w:sz w:val="32"/>
          <w:szCs w:val="32"/>
          <w:highlight w:val="none"/>
        </w:rPr>
        <w:t>资项目主要根据年度工作任务，统筹考虑为缓解单位人手不足的情况通过聘用临聘人员保障单位工作正常运行，全面完成各项工作任务。经区人力资源和社会保障局批准，我单位临聘人员指标为2人，主要用于补充单位工作人员不足的现状，协助单位正式人员完成各项工作任务，该</w:t>
      </w:r>
      <w:r>
        <w:rPr>
          <w:rFonts w:hint="eastAsia" w:ascii="仿宋_GB2312" w:hAnsi="仿宋_GB2312" w:eastAsia="仿宋_GB2312" w:cs="仿宋_GB2312"/>
          <w:spacing w:val="8"/>
          <w:sz w:val="32"/>
          <w:szCs w:val="32"/>
        </w:rPr>
        <w:t>项目资金用于支付临聘人员工资、社保、医保等费用，2024年该项目资金支出15万元，占比49.18%。</w:t>
      </w:r>
    </w:p>
    <w:p w14:paraId="4C73BCAA">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2.项目主要内容及实施情况</w:t>
      </w:r>
    </w:p>
    <w:p w14:paraId="6B7FD14D">
      <w:pPr>
        <w:spacing w:line="560" w:lineRule="exact"/>
        <w:ind w:firstLine="640" w:firstLineChars="200"/>
        <w:rPr>
          <w:rStyle w:val="14"/>
          <w:rFonts w:ascii="仿宋_GB2312" w:hAnsi="仿宋_GB2312" w:eastAsia="仿宋_GB2312" w:cs="仿宋_GB2312"/>
          <w:b w:val="0"/>
          <w:spacing w:val="-4"/>
          <w:sz w:val="32"/>
          <w:szCs w:val="32"/>
          <w:highlight w:val="yellow"/>
        </w:rPr>
      </w:pPr>
      <w:r>
        <w:rPr>
          <w:rFonts w:hint="eastAsia" w:ascii="仿宋_GB2312" w:hAnsi="仿宋_GB2312" w:eastAsia="仿宋_GB2312" w:cs="仿宋_GB2312"/>
          <w:sz w:val="32"/>
          <w:szCs w:val="32"/>
        </w:rPr>
        <w:t>项目主要内容：</w:t>
      </w:r>
      <w:r>
        <w:rPr>
          <w:rFonts w:hint="eastAsia" w:ascii="仿宋_GB2312" w:hAnsi="仿宋_GB2312" w:eastAsia="仿宋_GB2312" w:cs="仿宋_GB2312"/>
          <w:spacing w:val="8"/>
          <w:sz w:val="32"/>
          <w:szCs w:val="32"/>
        </w:rPr>
        <w:t>按照水财预发〔2024〕1号-关于下达2024年水磨沟区部门预算的通知，2024年临聘人员工资项目主要为补充了单位工作人员不足的现状，聘用临聘人员，该项目资金用于支付临聘人员工资、社保、医保等费用。</w:t>
      </w:r>
    </w:p>
    <w:p w14:paraId="1BE0044F">
      <w:pPr>
        <w:spacing w:line="560" w:lineRule="exact"/>
        <w:ind w:firstLine="640" w:firstLineChars="200"/>
      </w:pPr>
      <w:r>
        <w:rPr>
          <w:rFonts w:hint="eastAsia" w:ascii="仿宋_GB2312" w:hAnsi="仿宋_GB2312" w:eastAsia="仿宋_GB2312" w:cs="仿宋_GB2312"/>
          <w:sz w:val="32"/>
          <w:szCs w:val="32"/>
          <w:highlight w:val="none"/>
        </w:rPr>
        <w:t>项目实施情况：</w:t>
      </w:r>
      <w:r>
        <w:rPr>
          <w:rFonts w:hint="eastAsia" w:ascii="仿宋_GB2312" w:hAnsi="仿宋_GB2312" w:eastAsia="仿宋_GB2312" w:cs="仿宋_GB2312"/>
          <w:sz w:val="32"/>
          <w:szCs w:val="32"/>
          <w:highlight w:val="none"/>
          <w:lang w:eastAsia="zh-CN"/>
        </w:rPr>
        <w:t>我单位按照区人社局核定的临聘人员数，</w:t>
      </w:r>
      <w:r>
        <w:rPr>
          <w:rFonts w:hint="eastAsia" w:ascii="仿宋_GB2312" w:hAnsi="仿宋_GB2312" w:eastAsia="仿宋_GB2312" w:cs="仿宋_GB2312"/>
          <w:sz w:val="32"/>
          <w:szCs w:val="32"/>
          <w:highlight w:val="none"/>
        </w:rPr>
        <w:t>聘用2名临聘人员，通过严格考勤制度、明确工作职责、按照发放月工资等方式，提高临聘人员工作效率及满意度，以缓解我单位人手不够的情况</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pacing w:val="8"/>
          <w:sz w:val="32"/>
          <w:szCs w:val="32"/>
          <w:highlight w:val="none"/>
        </w:rPr>
        <w:t>项目目前</w:t>
      </w:r>
      <w:r>
        <w:rPr>
          <w:rFonts w:hint="eastAsia" w:ascii="仿宋_GB2312" w:hAnsi="仿宋_GB2312" w:eastAsia="仿宋_GB2312" w:cs="仿宋_GB2312"/>
          <w:spacing w:val="8"/>
          <w:sz w:val="32"/>
          <w:szCs w:val="32"/>
        </w:rPr>
        <w:t>已经完成实际设立的目标，项目在实施过程中严格按照目标设立的各阶段任务进行开展工作，提前做好项目规划，在项目实施过程中做好定期监督检查，在项目资金使用过程中，按照项目资金使用范围做好审核工作，让项目资金落于实处，保证项目实施各阶段安全顺利进行。</w:t>
      </w:r>
    </w:p>
    <w:p w14:paraId="70D0F68F">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3.资金投入和使用情况</w:t>
      </w:r>
    </w:p>
    <w:p w14:paraId="495F105A">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14:paraId="3CC6D5DB">
      <w:pP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该项目年初预算数16.22万元，全年预算数16.22万元，资金到位16.22万元，</w:t>
      </w:r>
      <w:r>
        <w:rPr>
          <w:rFonts w:hint="eastAsia" w:ascii="仿宋_GB2312" w:hAnsi="仿宋_GB2312" w:eastAsia="仿宋_GB2312" w:cs="仿宋_GB2312"/>
          <w:sz w:val="32"/>
          <w:szCs w:val="32"/>
          <w:highlight w:val="none"/>
          <w:lang w:eastAsia="zh-CN"/>
        </w:rPr>
        <w:t>年中未追加（减）临聘人员经费，</w:t>
      </w:r>
      <w:r>
        <w:rPr>
          <w:rFonts w:hint="eastAsia" w:ascii="仿宋_GB2312" w:hAnsi="仿宋_GB2312" w:eastAsia="仿宋_GB2312" w:cs="仿宋_GB2312"/>
          <w:sz w:val="32"/>
          <w:szCs w:val="32"/>
          <w:highlight w:val="none"/>
        </w:rPr>
        <w:t>资金到位率100%，资金来源为财政拨款</w:t>
      </w:r>
      <w:r>
        <w:rPr>
          <w:rFonts w:hint="eastAsia" w:ascii="仿宋_GB2312" w:hAnsi="仿宋_GB2312" w:eastAsia="仿宋_GB2312" w:cs="仿宋_GB2312"/>
          <w:sz w:val="32"/>
          <w:szCs w:val="32"/>
          <w:highlight w:val="none"/>
          <w:lang w:eastAsia="zh-CN"/>
        </w:rPr>
        <w:t>。</w:t>
      </w:r>
    </w:p>
    <w:p w14:paraId="59ADB209">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14:paraId="6AFCB7EE">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该项目年初预算数16.22万元，全年预算数16.22万元,全年执行数15万元，预算执行率为92.48%，主要用于：支付2024年雇员工资，临聘人员工资，社保、医保，管理费用。</w:t>
      </w:r>
    </w:p>
    <w:p w14:paraId="6A194DEF">
      <w:pPr>
        <w:spacing w:line="560" w:lineRule="exact"/>
        <w:ind w:firstLine="643" w:firstLineChars="200"/>
        <w:rPr>
          <w:rFonts w:eastAsia="楷体_GB2312"/>
          <w:b/>
          <w:bCs/>
          <w:sz w:val="32"/>
          <w:szCs w:val="32"/>
        </w:rPr>
      </w:pPr>
      <w:r>
        <w:rPr>
          <w:rFonts w:eastAsia="楷体_GB2312"/>
          <w:b/>
          <w:bCs/>
          <w:sz w:val="32"/>
          <w:szCs w:val="32"/>
        </w:rPr>
        <w:t>（二）项目绩效目标</w:t>
      </w:r>
    </w:p>
    <w:p w14:paraId="1F26E25E">
      <w:pPr>
        <w:spacing w:line="560" w:lineRule="exact"/>
        <w:ind w:firstLine="643" w:firstLineChars="200"/>
        <w:rPr>
          <w:rFonts w:eastAsia="仿宋_GB2312"/>
          <w:sz w:val="32"/>
          <w:szCs w:val="32"/>
        </w:rPr>
      </w:pPr>
      <w:r>
        <w:rPr>
          <w:rFonts w:hint="eastAsia" w:ascii="仿宋_GB2312" w:hAnsi="仿宋_GB2312" w:eastAsia="仿宋_GB2312" w:cs="仿宋_GB2312"/>
          <w:b/>
          <w:bCs/>
          <w:kern w:val="0"/>
          <w:sz w:val="32"/>
          <w:szCs w:val="32"/>
        </w:rPr>
        <w:t>1.总体目标</w:t>
      </w:r>
    </w:p>
    <w:p w14:paraId="31D210C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加强对1名临聘及1名雇员的管理，按月、按考勤，发放临聘人员工资与补助；（2）对项目资金按照项目单独核算实行“专款专用专管”，不得挤占、挪用，主管领导把关，项目参与人积极配合、通力合作，财务负责资金收支管理；（3）有效促进临聘人员及雇员工作积极性，保障单位工作顺利开展。</w:t>
      </w:r>
    </w:p>
    <w:p w14:paraId="30F8EB03">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完成目标:</w:t>
      </w:r>
    </w:p>
    <w:p w14:paraId="173B601E">
      <w:pPr>
        <w:spacing w:line="560" w:lineRule="exact"/>
        <w:ind w:firstLine="643" w:firstLineChars="200"/>
        <w:rPr>
          <w:rFonts w:ascii="仿宋_GB2312" w:hAnsi="仿宋_GB2312" w:eastAsia="仿宋_GB2312" w:cs="仿宋_GB2312"/>
          <w:color w:val="FF0000"/>
          <w:sz w:val="30"/>
          <w:szCs w:val="30"/>
        </w:rPr>
      </w:pPr>
      <w:r>
        <w:rPr>
          <w:rFonts w:hint="eastAsia" w:ascii="仿宋_GB2312" w:hAnsi="仿宋_GB2312" w:eastAsia="仿宋_GB2312" w:cs="仿宋_GB2312"/>
          <w:b/>
          <w:bCs/>
          <w:kern w:val="0"/>
          <w:sz w:val="32"/>
          <w:szCs w:val="32"/>
        </w:rPr>
        <w:t>2.阶段性目标</w:t>
      </w:r>
    </w:p>
    <w:p w14:paraId="0301F6AB">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单位通过聘用临聘人员有效补充了单位工作人员不足的现状，聘用</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名临聘人员，每月工资标准严格按照区人社局核定发放，单位严格考勤制度、明确工作职责、按时、按标准发放临聘人员工资，有效提高了临聘人员工作效率及满意度，缓解了我单位人手不够的情况，保障单位工作正常运行，全面完成各项工作任务。</w:t>
      </w:r>
    </w:p>
    <w:p w14:paraId="12C9306E">
      <w:pPr>
        <w:spacing w:line="560" w:lineRule="exact"/>
        <w:ind w:firstLine="640" w:firstLineChars="200"/>
        <w:rPr>
          <w:rFonts w:eastAsia="黑体"/>
          <w:sz w:val="32"/>
          <w:szCs w:val="32"/>
          <w:highlight w:val="none"/>
        </w:rPr>
      </w:pPr>
      <w:r>
        <w:rPr>
          <w:rFonts w:eastAsia="黑体"/>
          <w:sz w:val="32"/>
          <w:szCs w:val="32"/>
          <w:highlight w:val="none"/>
        </w:rPr>
        <w:t>二、绩效评价工作开展情况</w:t>
      </w:r>
    </w:p>
    <w:p w14:paraId="7D67F15B">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49222571">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1.绩效评价的目的</w:t>
      </w:r>
    </w:p>
    <w:p w14:paraId="2200097C">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1C1769C">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2146D85F">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14:paraId="6F78E37F">
      <w:pPr>
        <w:pStyle w:val="19"/>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A4420B4">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2.绩效评价的对象</w:t>
      </w:r>
    </w:p>
    <w:p w14:paraId="2FBE90F7">
      <w:pPr>
        <w:spacing w:line="560" w:lineRule="exact"/>
        <w:ind w:firstLine="640" w:firstLineChars="200"/>
        <w:rPr>
          <w:rFonts w:ascii="仿宋_GB2312" w:hAnsi="仿宋_GB2312" w:eastAsia="仿宋_GB2312" w:cs="仿宋_GB2312"/>
          <w:sz w:val="32"/>
          <w:szCs w:val="32"/>
        </w:rPr>
      </w:pPr>
      <w:r>
        <w:rPr>
          <w:rFonts w:hint="eastAsia" w:eastAsia="仿宋_GB2312"/>
          <w:kern w:val="0"/>
          <w:sz w:val="32"/>
          <w:szCs w:val="32"/>
        </w:rPr>
        <w:t>2024年临聘人员</w:t>
      </w:r>
      <w:r>
        <w:rPr>
          <w:rFonts w:hint="eastAsia" w:ascii="仿宋_GB2312" w:hAnsi="仿宋_GB2312" w:eastAsia="仿宋_GB2312" w:cs="仿宋_GB2312"/>
          <w:sz w:val="32"/>
          <w:szCs w:val="32"/>
        </w:rPr>
        <w:t>工资项目所包含的全部项目内容。</w:t>
      </w:r>
    </w:p>
    <w:p w14:paraId="16FFA79F">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3.绩效评价的范围</w:t>
      </w:r>
    </w:p>
    <w:p w14:paraId="68DB8F46">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2024年临聘人员工资项目进行评价，评价核心为专项资金的支出完成情况和效果。</w:t>
      </w:r>
    </w:p>
    <w:p w14:paraId="67CF6D6A">
      <w:pPr>
        <w:spacing w:line="560" w:lineRule="exact"/>
        <w:ind w:firstLine="643" w:firstLineChars="200"/>
      </w:pPr>
      <w:r>
        <w:rPr>
          <w:rFonts w:eastAsia="楷体_GB2312"/>
          <w:b/>
          <w:bCs/>
          <w:sz w:val="32"/>
          <w:szCs w:val="32"/>
        </w:rPr>
        <w:t>（二）绩效评价原则、评价指标体系（详情见</w:t>
      </w:r>
      <w:r>
        <w:rPr>
          <w:rFonts w:hint="eastAsia" w:eastAsia="楷体_GB2312"/>
          <w:b/>
          <w:bCs/>
          <w:sz w:val="32"/>
          <w:szCs w:val="32"/>
        </w:rPr>
        <w:t>附件2</w:t>
      </w:r>
      <w:r>
        <w:rPr>
          <w:rFonts w:eastAsia="楷体_GB2312"/>
          <w:b/>
          <w:bCs/>
          <w:sz w:val="32"/>
          <w:szCs w:val="32"/>
        </w:rPr>
        <w:t>）、评价方法、评价标准</w:t>
      </w:r>
    </w:p>
    <w:p w14:paraId="4A8453FF">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1.绩效评价原则</w:t>
      </w:r>
    </w:p>
    <w:p w14:paraId="1BFED55D">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3C8C6F8A">
      <w:pPr>
        <w:pStyle w:val="2"/>
        <w:spacing w:before="0" w:after="0" w:line="560" w:lineRule="exac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（1）科学公正。绩效评价应当运用科学合理的方法，按照规范的程序，对项目绩效进行客观、公正的反映。</w:t>
      </w:r>
    </w:p>
    <w:p w14:paraId="0F75844F">
      <w:pPr>
        <w:pStyle w:val="2"/>
        <w:spacing w:before="0" w:after="0" w:line="560" w:lineRule="exac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（2）统筹兼顾。单位自评、部门评价和财政评价应职责明确，各有侧重，相互衔接。单位自评应由项目单位自主实施，即“谁支出、谁自评”。部门评价和财政评价应在单位自评的基础上开展。</w:t>
      </w:r>
    </w:p>
    <w:p w14:paraId="630EEC0B">
      <w:pPr>
        <w:pStyle w:val="2"/>
        <w:spacing w:before="0" w:after="0" w:line="560" w:lineRule="exac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（3）激励约束。绩效评价结果应与预算安排、政策调整、改进管理实质性挂钩，体现奖优罚劣和激励相容导向，有效要安排、低效要压减、无效要问责。</w:t>
      </w:r>
    </w:p>
    <w:p w14:paraId="1BFA6B93">
      <w:pPr>
        <w:pStyle w:val="2"/>
        <w:spacing w:before="0" w:after="0" w:line="560" w:lineRule="exact"/>
        <w:rPr>
          <w:rFonts w:ascii="仿宋_GB2312" w:hAnsi="仿宋_GB2312" w:eastAsia="仿宋_GB2312" w:cs="仿宋_GB2312"/>
          <w:b w:val="0"/>
          <w:bCs w:val="0"/>
          <w:kern w:val="2"/>
        </w:rPr>
      </w:pPr>
      <w:r>
        <w:rPr>
          <w:rFonts w:hint="eastAsia" w:ascii="仿宋_GB2312" w:hAnsi="仿宋_GB2312" w:eastAsia="仿宋_GB2312" w:cs="仿宋_GB2312"/>
          <w:b w:val="0"/>
          <w:bCs w:val="0"/>
          <w:kern w:val="2"/>
        </w:rPr>
        <w:t>（4）公开透明。绩效评价结果应依法依规公开，并自觉接受社会监督。</w:t>
      </w:r>
    </w:p>
    <w:p w14:paraId="456EEA28">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2.评价指标体系</w:t>
      </w:r>
    </w:p>
    <w:p w14:paraId="20E68068">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3A3B9364">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13C39A1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752DE38">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524CE31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F44CCE2">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0211F78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0F00AD4B">
      <w:pPr>
        <w:pStyle w:val="2"/>
        <w:spacing w:before="0" w:after="0" w:line="560" w:lineRule="exact"/>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BB5B7EA">
      <w:pPr>
        <w:pStyle w:val="2"/>
        <w:spacing w:before="0" w:after="0" w:line="560" w:lineRule="exact"/>
      </w:pPr>
      <w:r>
        <w:t>具体评价指标体系详情见附件</w:t>
      </w:r>
      <w:r>
        <w:rPr>
          <w:rFonts w:hint="eastAsia"/>
        </w:rPr>
        <w:t>2。</w:t>
      </w:r>
    </w:p>
    <w:p w14:paraId="46203B5E">
      <w:pPr>
        <w:pStyle w:val="19"/>
        <w:spacing w:line="560" w:lineRule="exact"/>
        <w:ind w:firstLine="641"/>
        <w:rPr>
          <w:rFonts w:hint="eastAsia" w:ascii="仿宋_GB2312" w:hAnsi="仿宋_GB2312" w:eastAsia="仿宋_GB2312" w:cs="仿宋_GB2312"/>
          <w:b/>
          <w:bCs/>
          <w:sz w:val="32"/>
          <w:szCs w:val="32"/>
        </w:rPr>
      </w:pPr>
    </w:p>
    <w:p w14:paraId="2AC31E97">
      <w:pPr>
        <w:pStyle w:val="19"/>
        <w:spacing w:line="560" w:lineRule="exact"/>
        <w:ind w:left="0" w:leftChars="0" w:firstLine="0" w:firstLineChars="0"/>
        <w:rPr>
          <w:rFonts w:hint="eastAsia" w:ascii="仿宋_GB2312" w:hAnsi="仿宋_GB2312" w:eastAsia="仿宋_GB2312" w:cs="仿宋_GB2312"/>
          <w:b/>
          <w:bCs/>
          <w:sz w:val="32"/>
          <w:szCs w:val="32"/>
        </w:rPr>
      </w:pPr>
    </w:p>
    <w:p w14:paraId="6F01E442">
      <w:pPr>
        <w:pStyle w:val="19"/>
        <w:spacing w:line="560" w:lineRule="exact"/>
        <w:ind w:left="0" w:leftChars="0" w:firstLine="0" w:firstLineChars="0"/>
        <w:rPr>
          <w:rFonts w:hint="eastAsia" w:ascii="仿宋_GB2312" w:hAnsi="仿宋_GB2312" w:eastAsia="仿宋_GB2312" w:cs="仿宋_GB2312"/>
          <w:b/>
          <w:bCs/>
          <w:sz w:val="32"/>
          <w:szCs w:val="32"/>
        </w:rPr>
      </w:pPr>
    </w:p>
    <w:p w14:paraId="28721849">
      <w:pPr>
        <w:pStyle w:val="19"/>
        <w:spacing w:line="560" w:lineRule="exact"/>
        <w:ind w:left="0" w:leftChars="0" w:firstLine="0" w:firstLineChars="0"/>
        <w:rPr>
          <w:rFonts w:hint="eastAsia" w:ascii="仿宋_GB2312" w:hAnsi="仿宋_GB2312" w:eastAsia="仿宋_GB2312" w:cs="仿宋_GB2312"/>
          <w:b/>
          <w:bCs/>
          <w:sz w:val="32"/>
          <w:szCs w:val="32"/>
        </w:rPr>
      </w:pPr>
    </w:p>
    <w:p w14:paraId="4F8BAAB6">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3.绩效评价方法</w:t>
      </w:r>
    </w:p>
    <w:p w14:paraId="6D96AE3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37F71C1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6630E5B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14:paraId="113B9F8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14:paraId="19A05895">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14:paraId="3491FA3F">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14:paraId="3788FD44">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4.评价标准</w:t>
      </w:r>
    </w:p>
    <w:p w14:paraId="39323814">
      <w:pPr>
        <w:spacing w:line="560" w:lineRule="exact"/>
        <w:ind w:firstLine="640"/>
        <w:rPr>
          <w:rFonts w:eastAsia="方正仿宋_GBK" w:cs="方正仿宋_GBK"/>
          <w:color w:val="FF0000"/>
          <w:sz w:val="32"/>
          <w:szCs w:val="32"/>
        </w:rPr>
      </w:pPr>
      <w:r>
        <w:rPr>
          <w:rFonts w:hint="eastAsia" w:eastAsia="方正仿宋_GBK" w:cs="方正仿宋_GBK"/>
          <w:sz w:val="32"/>
          <w:szCs w:val="32"/>
        </w:rPr>
        <w:t>绩效评价标准通常包括计划标准、行业标准、历史标准等，用于对绩效指标完成情况进行比较、分析、评价。本次评价主要采用了计划标准、历史标准。</w:t>
      </w:r>
    </w:p>
    <w:p w14:paraId="6D04C601">
      <w:pPr>
        <w:spacing w:line="560" w:lineRule="exact"/>
        <w:ind w:firstLine="643"/>
        <w:rPr>
          <w:rFonts w:eastAsia="方正仿宋_GBK" w:cs="方正仿宋_GBK"/>
          <w:sz w:val="32"/>
          <w:szCs w:val="32"/>
        </w:rPr>
      </w:pPr>
      <w:r>
        <w:rPr>
          <w:rFonts w:hint="eastAsia" w:eastAsia="方正仿宋_GBK" w:cs="方正仿宋_GBK"/>
          <w:b/>
          <w:bCs/>
          <w:sz w:val="32"/>
          <w:szCs w:val="32"/>
        </w:rPr>
        <w:t>计划标准：</w:t>
      </w:r>
      <w:r>
        <w:rPr>
          <w:rFonts w:hint="eastAsia" w:eastAsia="方正仿宋_GBK" w:cs="方正仿宋_GBK"/>
          <w:sz w:val="32"/>
          <w:szCs w:val="32"/>
        </w:rPr>
        <w:t>指以预先制定的目标、计划、预算、定额等作为评价标准。</w:t>
      </w:r>
    </w:p>
    <w:p w14:paraId="337733B3">
      <w:pPr>
        <w:spacing w:line="560" w:lineRule="exact"/>
        <w:ind w:firstLine="643"/>
        <w:rPr>
          <w:rFonts w:eastAsia="方正仿宋_GBK" w:cs="方正仿宋_GBK"/>
          <w:sz w:val="32"/>
          <w:szCs w:val="32"/>
        </w:rPr>
      </w:pPr>
      <w:r>
        <w:rPr>
          <w:rFonts w:hint="eastAsia" w:eastAsia="方正仿宋_GBK" w:cs="方正仿宋_GBK"/>
          <w:b/>
          <w:bCs/>
          <w:sz w:val="32"/>
          <w:szCs w:val="32"/>
        </w:rPr>
        <w:t>历史标准：</w:t>
      </w:r>
      <w:r>
        <w:rPr>
          <w:rFonts w:hint="eastAsia" w:eastAsia="方正仿宋_GBK" w:cs="方正仿宋_GBK"/>
          <w:sz w:val="32"/>
          <w:szCs w:val="32"/>
        </w:rPr>
        <w:t>指参照历史数据制定的评价标准，为体现绩效改进的原则，在可实现的条件下应当确定相对较高的评价标准。</w:t>
      </w:r>
    </w:p>
    <w:p w14:paraId="0FAE37F2">
      <w:pPr>
        <w:pStyle w:val="2"/>
        <w:spacing w:before="0" w:after="0" w:line="560" w:lineRule="exact"/>
      </w:pPr>
      <w:r>
        <w:rPr>
          <w:rFonts w:hint="eastAsia"/>
        </w:rPr>
        <w:t>绩效评价工作过程</w:t>
      </w:r>
    </w:p>
    <w:p w14:paraId="4A22141B">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1.前期准备。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8F26B85">
      <w:pPr>
        <w:spacing w:line="560" w:lineRule="exact"/>
        <w:ind w:firstLine="643" w:firstLineChars="200"/>
        <w:rPr>
          <w:rFonts w:eastAsia="仿宋_GB2312"/>
          <w:bCs/>
          <w:sz w:val="32"/>
          <w:szCs w:val="32"/>
        </w:rPr>
      </w:pPr>
      <w:r>
        <w:rPr>
          <w:rFonts w:hint="eastAsia" w:ascii="仿宋_GB2312" w:hAnsi="仿宋_GB2312" w:eastAsia="仿宋_GB2312" w:cs="仿宋_GB2312"/>
          <w:b/>
          <w:bCs/>
          <w:sz w:val="32"/>
          <w:szCs w:val="32"/>
        </w:rPr>
        <w:t>2.组织实施。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8979643">
      <w:pPr>
        <w:spacing w:line="560" w:lineRule="exact"/>
        <w:ind w:firstLine="643" w:firstLineChars="200"/>
        <w:rPr>
          <w:sz w:val="32"/>
          <w:szCs w:val="32"/>
        </w:rPr>
      </w:pPr>
      <w:r>
        <w:rPr>
          <w:rFonts w:hint="eastAsia" w:ascii="仿宋_GB2312" w:hAnsi="仿宋_GB2312" w:eastAsia="仿宋_GB2312" w:cs="仿宋_GB2312"/>
          <w:b/>
          <w:bCs/>
          <w:sz w:val="32"/>
          <w:szCs w:val="32"/>
        </w:rPr>
        <w:t>3.分析评价。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28108188">
      <w:pPr>
        <w:numPr>
          <w:ilvl w:val="0"/>
          <w:numId w:val="2"/>
        </w:numPr>
        <w:spacing w:line="560" w:lineRule="exact"/>
        <w:ind w:firstLine="640" w:firstLineChars="200"/>
        <w:rPr>
          <w:rFonts w:eastAsia="黑体"/>
          <w:sz w:val="32"/>
          <w:szCs w:val="32"/>
        </w:rPr>
      </w:pPr>
      <w:r>
        <w:rPr>
          <w:rFonts w:eastAsia="黑体"/>
          <w:sz w:val="32"/>
          <w:szCs w:val="32"/>
        </w:rPr>
        <w:t>综合评价情况及评价结论（附相关评分表）</w:t>
      </w:r>
    </w:p>
    <w:p w14:paraId="127588F5">
      <w:pPr>
        <w:pStyle w:val="2"/>
        <w:spacing w:before="0" w:after="0" w:line="560" w:lineRule="exact"/>
      </w:pPr>
      <w:r>
        <w:rPr>
          <w:rFonts w:hint="eastAsia"/>
        </w:rPr>
        <w:t>（一）评价情况</w:t>
      </w:r>
    </w:p>
    <w:p w14:paraId="4D74697D">
      <w:pPr>
        <w:spacing w:line="56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642A31B">
      <w:pPr>
        <w:pStyle w:val="2"/>
        <w:spacing w:before="0" w:after="0" w:line="560" w:lineRule="exact"/>
      </w:pPr>
      <w:r>
        <w:rPr>
          <w:rFonts w:hint="eastAsia"/>
        </w:rPr>
        <w:t>（二）评价结论</w:t>
      </w:r>
    </w:p>
    <w:p w14:paraId="599387AC">
      <w:pPr>
        <w:pStyle w:val="2"/>
        <w:spacing w:before="0" w:after="0" w:line="560" w:lineRule="exact"/>
        <w:ind w:firstLine="641"/>
        <w:rPr>
          <w:rFonts w:hint="eastAsia" w:ascii="Times New Roman" w:hAnsi="Times New Roman" w:eastAsia="仿宋_GB2312"/>
          <w:b w:val="0"/>
          <w:bCs w:val="0"/>
          <w:highlight w:val="none"/>
        </w:rPr>
      </w:pPr>
      <w:r>
        <w:rPr>
          <w:rFonts w:hint="eastAsia" w:ascii="Times New Roman" w:hAnsi="Times New Roman" w:eastAsia="仿宋_GB2312"/>
          <w:b w:val="0"/>
          <w:bCs w:val="0"/>
          <w:highlight w:val="none"/>
        </w:rPr>
        <w:t>运用绩效评价组制定的评价指标体系以及财政部《项目支出绩效评价管理办法》（财预〔2020〕10号）文件的评分标准，通过数据采集、问卷调查及访谈等方式，对本项目进行客观评价，最终评分结果：总得分为99.7分，属于“优”。其中，项目决策类指标权重为20分，</w:t>
      </w:r>
      <w:r>
        <w:rPr>
          <w:rFonts w:hint="eastAsia" w:ascii="Times New Roman" w:hAnsi="Times New Roman" w:eastAsia="仿宋_GB2312"/>
          <w:b w:val="0"/>
          <w:bCs w:val="0"/>
          <w:highlight w:val="none"/>
          <w:lang w:eastAsia="zh-CN"/>
        </w:rPr>
        <w:t>其中</w:t>
      </w:r>
      <w:r>
        <w:rPr>
          <w:rFonts w:hint="eastAsia" w:ascii="Times New Roman" w:hAnsi="Times New Roman" w:eastAsia="仿宋_GB2312"/>
          <w:b w:val="0"/>
          <w:bCs w:val="0"/>
          <w:highlight w:val="none"/>
        </w:rPr>
        <w:t>立项依据充分性</w:t>
      </w:r>
      <w:r>
        <w:rPr>
          <w:rFonts w:hint="eastAsia" w:ascii="Times New Roman" w:hAnsi="Times New Roman" w:eastAsia="仿宋_GB2312"/>
          <w:b w:val="0"/>
          <w:bCs w:val="0"/>
          <w:highlight w:val="none"/>
          <w:lang w:val="en-US" w:eastAsia="zh-CN"/>
        </w:rPr>
        <w:t>3分，</w:t>
      </w:r>
      <w:r>
        <w:rPr>
          <w:rFonts w:hint="eastAsia" w:ascii="Times New Roman" w:hAnsi="Times New Roman" w:eastAsia="仿宋_GB2312"/>
          <w:b w:val="0"/>
          <w:bCs w:val="0"/>
          <w:highlight w:val="none"/>
        </w:rPr>
        <w:t>立项程序规范性</w:t>
      </w:r>
      <w:r>
        <w:rPr>
          <w:rFonts w:hint="eastAsia" w:ascii="Times New Roman" w:hAnsi="Times New Roman" w:eastAsia="仿宋_GB2312"/>
          <w:b w:val="0"/>
          <w:bCs w:val="0"/>
          <w:highlight w:val="none"/>
          <w:lang w:val="en-US" w:eastAsia="zh-CN"/>
        </w:rPr>
        <w:t>3分，</w:t>
      </w:r>
      <w:r>
        <w:rPr>
          <w:rFonts w:hint="eastAsia" w:ascii="Times New Roman" w:hAnsi="Times New Roman" w:eastAsia="仿宋_GB2312"/>
          <w:b w:val="0"/>
          <w:bCs w:val="0"/>
          <w:highlight w:val="none"/>
        </w:rPr>
        <w:t>绩效目标合理性</w:t>
      </w:r>
      <w:r>
        <w:rPr>
          <w:rFonts w:hint="eastAsia" w:ascii="Times New Roman" w:hAnsi="Times New Roman" w:eastAsia="仿宋_GB2312"/>
          <w:b w:val="0"/>
          <w:bCs w:val="0"/>
          <w:highlight w:val="none"/>
          <w:lang w:val="en-US" w:eastAsia="zh-CN"/>
        </w:rPr>
        <w:t>3分，</w:t>
      </w:r>
      <w:r>
        <w:rPr>
          <w:rFonts w:hint="eastAsia" w:ascii="Times New Roman" w:hAnsi="Times New Roman" w:eastAsia="仿宋_GB2312"/>
          <w:b w:val="0"/>
          <w:bCs w:val="0"/>
          <w:highlight w:val="none"/>
        </w:rPr>
        <w:t>绩效指标明确性</w:t>
      </w:r>
      <w:r>
        <w:rPr>
          <w:rFonts w:hint="eastAsia" w:ascii="Times New Roman" w:hAnsi="Times New Roman" w:eastAsia="仿宋_GB2312"/>
          <w:b w:val="0"/>
          <w:bCs w:val="0"/>
          <w:highlight w:val="none"/>
          <w:lang w:val="en-US" w:eastAsia="zh-CN"/>
        </w:rPr>
        <w:t>3分，</w:t>
      </w:r>
      <w:r>
        <w:rPr>
          <w:rFonts w:hint="eastAsia" w:ascii="Times New Roman" w:hAnsi="Times New Roman" w:eastAsia="仿宋_GB2312"/>
          <w:b w:val="0"/>
          <w:bCs w:val="0"/>
          <w:highlight w:val="none"/>
        </w:rPr>
        <w:t>预算编制科学性</w:t>
      </w:r>
      <w:r>
        <w:rPr>
          <w:rFonts w:hint="eastAsia" w:ascii="Times New Roman" w:hAnsi="Times New Roman" w:eastAsia="仿宋_GB2312"/>
          <w:b w:val="0"/>
          <w:bCs w:val="0"/>
          <w:highlight w:val="none"/>
          <w:lang w:val="en-US" w:eastAsia="zh-CN"/>
        </w:rPr>
        <w:t>4分，</w:t>
      </w:r>
      <w:r>
        <w:rPr>
          <w:rFonts w:hint="eastAsia" w:ascii="Times New Roman" w:hAnsi="Times New Roman" w:eastAsia="仿宋_GB2312"/>
          <w:b w:val="0"/>
          <w:bCs w:val="0"/>
          <w:highlight w:val="none"/>
        </w:rPr>
        <w:t>资金分配合理性</w:t>
      </w:r>
      <w:r>
        <w:rPr>
          <w:rFonts w:hint="eastAsia" w:ascii="Times New Roman" w:hAnsi="Times New Roman" w:eastAsia="仿宋_GB2312"/>
          <w:b w:val="0"/>
          <w:bCs w:val="0"/>
          <w:highlight w:val="none"/>
          <w:lang w:val="en-US" w:eastAsia="zh-CN"/>
        </w:rPr>
        <w:t>4分，共</w:t>
      </w:r>
      <w:r>
        <w:rPr>
          <w:rFonts w:hint="eastAsia" w:ascii="Times New Roman" w:hAnsi="Times New Roman" w:eastAsia="仿宋_GB2312"/>
          <w:b w:val="0"/>
          <w:bCs w:val="0"/>
          <w:highlight w:val="none"/>
        </w:rPr>
        <w:t>得分为20分，得分率为100%。项目过程类指标权重为20分，</w:t>
      </w:r>
      <w:r>
        <w:rPr>
          <w:rFonts w:hint="eastAsia" w:ascii="Times New Roman" w:hAnsi="Times New Roman" w:eastAsia="仿宋_GB2312"/>
          <w:b w:val="0"/>
          <w:bCs w:val="0"/>
          <w:highlight w:val="none"/>
          <w:lang w:eastAsia="zh-CN"/>
        </w:rPr>
        <w:t>资金到位率</w:t>
      </w:r>
      <w:r>
        <w:rPr>
          <w:rFonts w:hint="eastAsia" w:ascii="Times New Roman" w:hAnsi="Times New Roman" w:eastAsia="仿宋_GB2312"/>
          <w:b w:val="0"/>
          <w:bCs w:val="0"/>
          <w:highlight w:val="none"/>
          <w:lang w:val="en-US" w:eastAsia="zh-CN"/>
        </w:rPr>
        <w:t>4分，</w:t>
      </w:r>
      <w:r>
        <w:rPr>
          <w:rFonts w:hint="eastAsia" w:ascii="Times New Roman" w:hAnsi="Times New Roman" w:eastAsia="仿宋_GB2312"/>
          <w:b w:val="0"/>
          <w:bCs w:val="0"/>
          <w:highlight w:val="none"/>
          <w:lang w:eastAsia="zh-CN"/>
        </w:rPr>
        <w:t>预算执行率</w:t>
      </w:r>
      <w:r>
        <w:rPr>
          <w:rFonts w:hint="eastAsia" w:ascii="Times New Roman" w:hAnsi="Times New Roman" w:eastAsia="仿宋_GB2312"/>
          <w:b w:val="0"/>
          <w:bCs w:val="0"/>
          <w:highlight w:val="none"/>
          <w:lang w:val="en-US" w:eastAsia="zh-CN"/>
        </w:rPr>
        <w:t>3.7</w:t>
      </w:r>
      <w:r>
        <w:rPr>
          <w:rFonts w:hint="eastAsia" w:ascii="Times New Roman" w:hAnsi="Times New Roman" w:eastAsia="仿宋_GB2312"/>
          <w:b w:val="0"/>
          <w:bCs w:val="0"/>
          <w:highlight w:val="none"/>
        </w:rPr>
        <w:t>分</w:t>
      </w:r>
      <w:r>
        <w:rPr>
          <w:rFonts w:hint="eastAsia" w:ascii="Times New Roman" w:hAnsi="Times New Roman" w:eastAsia="仿宋_GB2312"/>
          <w:b w:val="0"/>
          <w:bCs w:val="0"/>
          <w:highlight w:val="none"/>
          <w:lang w:eastAsia="zh-CN"/>
        </w:rPr>
        <w:t>，资金使用合规性</w:t>
      </w:r>
      <w:r>
        <w:rPr>
          <w:rFonts w:hint="eastAsia" w:ascii="Times New Roman" w:hAnsi="Times New Roman" w:eastAsia="仿宋_GB2312"/>
          <w:b w:val="0"/>
          <w:bCs w:val="0"/>
          <w:highlight w:val="none"/>
          <w:lang w:val="en-US" w:eastAsia="zh-CN"/>
        </w:rPr>
        <w:t>4</w:t>
      </w:r>
      <w:r>
        <w:rPr>
          <w:rFonts w:hint="eastAsia" w:ascii="Times New Roman" w:hAnsi="Times New Roman" w:eastAsia="仿宋_GB2312"/>
          <w:b w:val="0"/>
          <w:bCs w:val="0"/>
          <w:highlight w:val="none"/>
        </w:rPr>
        <w:t>分</w:t>
      </w:r>
      <w:r>
        <w:rPr>
          <w:rFonts w:hint="eastAsia" w:ascii="Times New Roman" w:hAnsi="Times New Roman" w:eastAsia="仿宋_GB2312"/>
          <w:b w:val="0"/>
          <w:bCs w:val="0"/>
          <w:highlight w:val="none"/>
          <w:lang w:val="en-US" w:eastAsia="zh-CN"/>
        </w:rPr>
        <w:t>，</w:t>
      </w:r>
      <w:r>
        <w:rPr>
          <w:rFonts w:hint="eastAsia" w:ascii="Times New Roman" w:hAnsi="Times New Roman" w:eastAsia="仿宋_GB2312"/>
          <w:b w:val="0"/>
          <w:bCs w:val="0"/>
          <w:highlight w:val="none"/>
          <w:lang w:eastAsia="zh-CN"/>
        </w:rPr>
        <w:t>管理制度健全性</w:t>
      </w:r>
      <w:r>
        <w:rPr>
          <w:rFonts w:hint="eastAsia" w:ascii="Times New Roman" w:hAnsi="Times New Roman" w:eastAsia="仿宋_GB2312"/>
          <w:b w:val="0"/>
          <w:bCs w:val="0"/>
          <w:highlight w:val="none"/>
          <w:lang w:val="en-US" w:eastAsia="zh-CN"/>
        </w:rPr>
        <w:t>4</w:t>
      </w:r>
      <w:r>
        <w:rPr>
          <w:rFonts w:hint="eastAsia" w:ascii="Times New Roman" w:hAnsi="Times New Roman" w:eastAsia="仿宋_GB2312"/>
          <w:b w:val="0"/>
          <w:bCs w:val="0"/>
          <w:highlight w:val="none"/>
        </w:rPr>
        <w:t>分</w:t>
      </w:r>
      <w:r>
        <w:rPr>
          <w:rFonts w:hint="eastAsia" w:ascii="Times New Roman" w:hAnsi="Times New Roman" w:eastAsia="仿宋_GB2312"/>
          <w:b w:val="0"/>
          <w:bCs w:val="0"/>
          <w:highlight w:val="none"/>
          <w:lang w:val="en-US" w:eastAsia="zh-CN"/>
        </w:rPr>
        <w:t>，</w:t>
      </w:r>
      <w:r>
        <w:rPr>
          <w:rFonts w:hint="eastAsia" w:ascii="Times New Roman" w:hAnsi="Times New Roman" w:eastAsia="仿宋_GB2312"/>
          <w:b w:val="0"/>
          <w:bCs w:val="0"/>
          <w:highlight w:val="none"/>
          <w:lang w:eastAsia="zh-CN"/>
        </w:rPr>
        <w:t>制度执行有效性</w:t>
      </w:r>
      <w:r>
        <w:rPr>
          <w:rFonts w:hint="eastAsia" w:ascii="Times New Roman" w:hAnsi="Times New Roman" w:eastAsia="仿宋_GB2312"/>
          <w:b w:val="0"/>
          <w:bCs w:val="0"/>
          <w:highlight w:val="none"/>
          <w:lang w:val="en-US" w:eastAsia="zh-CN"/>
        </w:rPr>
        <w:t>4</w:t>
      </w:r>
      <w:r>
        <w:rPr>
          <w:rFonts w:hint="eastAsia" w:ascii="Times New Roman" w:hAnsi="Times New Roman" w:eastAsia="仿宋_GB2312"/>
          <w:b w:val="0"/>
          <w:bCs w:val="0"/>
          <w:highlight w:val="none"/>
        </w:rPr>
        <w:t>分</w:t>
      </w:r>
      <w:r>
        <w:rPr>
          <w:rFonts w:hint="eastAsia" w:ascii="Times New Roman" w:hAnsi="Times New Roman" w:eastAsia="仿宋_GB2312"/>
          <w:b w:val="0"/>
          <w:bCs w:val="0"/>
          <w:highlight w:val="none"/>
          <w:lang w:eastAsia="zh-CN"/>
        </w:rPr>
        <w:t>，共</w:t>
      </w:r>
      <w:r>
        <w:rPr>
          <w:rFonts w:hint="eastAsia" w:ascii="Times New Roman" w:hAnsi="Times New Roman" w:eastAsia="仿宋_GB2312"/>
          <w:b w:val="0"/>
          <w:bCs w:val="0"/>
          <w:highlight w:val="none"/>
        </w:rPr>
        <w:t>得分为19.7分，得分率为98.5%。项目产出类指标权重为40分，</w:t>
      </w:r>
      <w:r>
        <w:rPr>
          <w:rFonts w:hint="eastAsia" w:ascii="Times New Roman" w:hAnsi="Times New Roman" w:eastAsia="仿宋_GB2312"/>
          <w:b w:val="0"/>
          <w:bCs w:val="0"/>
          <w:highlight w:val="none"/>
          <w:lang w:eastAsia="zh-CN"/>
        </w:rPr>
        <w:t>实际完成率</w:t>
      </w:r>
      <w:r>
        <w:rPr>
          <w:rFonts w:hint="eastAsia" w:ascii="Times New Roman" w:hAnsi="Times New Roman" w:eastAsia="仿宋_GB2312"/>
          <w:b w:val="0"/>
          <w:bCs w:val="0"/>
          <w:highlight w:val="none"/>
          <w:lang w:val="en-US" w:eastAsia="zh-CN"/>
        </w:rPr>
        <w:t>10分，</w:t>
      </w:r>
      <w:r>
        <w:rPr>
          <w:rFonts w:hint="eastAsia" w:ascii="Times New Roman" w:hAnsi="Times New Roman" w:eastAsia="仿宋_GB2312"/>
          <w:b w:val="0"/>
          <w:bCs w:val="0"/>
          <w:highlight w:val="none"/>
          <w:lang w:eastAsia="zh-CN"/>
        </w:rPr>
        <w:t>质量达标率</w:t>
      </w:r>
      <w:r>
        <w:rPr>
          <w:rFonts w:hint="eastAsia" w:ascii="Times New Roman" w:hAnsi="Times New Roman" w:eastAsia="仿宋_GB2312"/>
          <w:b w:val="0"/>
          <w:bCs w:val="0"/>
          <w:highlight w:val="none"/>
          <w:lang w:val="en-US" w:eastAsia="zh-CN"/>
        </w:rPr>
        <w:t>10分，</w:t>
      </w:r>
      <w:r>
        <w:rPr>
          <w:rFonts w:hint="eastAsia" w:ascii="Times New Roman" w:hAnsi="Times New Roman" w:eastAsia="仿宋_GB2312"/>
          <w:b w:val="0"/>
          <w:bCs w:val="0"/>
          <w:highlight w:val="none"/>
          <w:lang w:eastAsia="zh-CN"/>
        </w:rPr>
        <w:t>完成及时性</w:t>
      </w:r>
      <w:r>
        <w:rPr>
          <w:rFonts w:hint="eastAsia" w:ascii="Times New Roman" w:hAnsi="Times New Roman" w:eastAsia="仿宋_GB2312"/>
          <w:b w:val="0"/>
          <w:bCs w:val="0"/>
          <w:highlight w:val="none"/>
          <w:lang w:val="en-US" w:eastAsia="zh-CN"/>
        </w:rPr>
        <w:t>10分，</w:t>
      </w:r>
      <w:r>
        <w:rPr>
          <w:rFonts w:hint="eastAsia" w:ascii="Times New Roman" w:hAnsi="Times New Roman" w:eastAsia="仿宋_GB2312"/>
          <w:b w:val="0"/>
          <w:bCs w:val="0"/>
          <w:highlight w:val="none"/>
          <w:lang w:eastAsia="zh-CN"/>
        </w:rPr>
        <w:t>成本节约率</w:t>
      </w:r>
      <w:r>
        <w:rPr>
          <w:rFonts w:hint="eastAsia" w:ascii="Times New Roman" w:hAnsi="Times New Roman" w:eastAsia="仿宋_GB2312"/>
          <w:b w:val="0"/>
          <w:bCs w:val="0"/>
          <w:highlight w:val="none"/>
          <w:lang w:val="en-US" w:eastAsia="zh-CN"/>
        </w:rPr>
        <w:t>10分，共</w:t>
      </w:r>
      <w:r>
        <w:rPr>
          <w:rFonts w:hint="eastAsia" w:ascii="Times New Roman" w:hAnsi="Times New Roman" w:eastAsia="仿宋_GB2312"/>
          <w:b w:val="0"/>
          <w:bCs w:val="0"/>
          <w:highlight w:val="none"/>
        </w:rPr>
        <w:t>得分为40分，得分率为 100%。项目效益类指标权重为20分，</w:t>
      </w:r>
      <w:r>
        <w:rPr>
          <w:rFonts w:hint="eastAsia" w:ascii="Times New Roman" w:hAnsi="Times New Roman" w:eastAsia="仿宋_GB2312"/>
          <w:b w:val="0"/>
          <w:bCs w:val="0"/>
          <w:highlight w:val="none"/>
          <w:lang w:eastAsia="zh-CN"/>
        </w:rPr>
        <w:t>实施效益</w:t>
      </w:r>
      <w:r>
        <w:rPr>
          <w:rFonts w:hint="eastAsia" w:ascii="Times New Roman" w:hAnsi="Times New Roman" w:eastAsia="仿宋_GB2312"/>
          <w:b w:val="0"/>
          <w:bCs w:val="0"/>
          <w:highlight w:val="none"/>
          <w:lang w:val="en-US" w:eastAsia="zh-CN"/>
        </w:rPr>
        <w:t>10分，</w:t>
      </w:r>
      <w:r>
        <w:rPr>
          <w:rFonts w:hint="eastAsia" w:ascii="Times New Roman" w:hAnsi="Times New Roman" w:eastAsia="仿宋_GB2312"/>
          <w:b w:val="0"/>
          <w:bCs w:val="0"/>
          <w:highlight w:val="none"/>
          <w:lang w:eastAsia="zh-CN"/>
        </w:rPr>
        <w:t>满意度</w:t>
      </w:r>
      <w:r>
        <w:rPr>
          <w:rFonts w:hint="eastAsia" w:ascii="Times New Roman" w:hAnsi="Times New Roman" w:eastAsia="仿宋_GB2312"/>
          <w:b w:val="0"/>
          <w:bCs w:val="0"/>
          <w:highlight w:val="none"/>
          <w:lang w:val="en-US" w:eastAsia="zh-CN"/>
        </w:rPr>
        <w:t>10分，共</w:t>
      </w:r>
      <w:r>
        <w:rPr>
          <w:rFonts w:hint="eastAsia" w:ascii="Times New Roman" w:hAnsi="Times New Roman" w:eastAsia="仿宋_GB2312"/>
          <w:b w:val="0"/>
          <w:bCs w:val="0"/>
          <w:highlight w:val="none"/>
        </w:rPr>
        <w:t>得分为20分，得分率为100%。具体打分情况详见：表1.综合评分表。立项依据充分性</w:t>
      </w:r>
    </w:p>
    <w:p w14:paraId="1D091808">
      <w:pPr>
        <w:rPr>
          <w:highlight w:val="none"/>
        </w:rPr>
      </w:pPr>
    </w:p>
    <w:p w14:paraId="62C24F0A"/>
    <w:p w14:paraId="47F2B01E">
      <w:pPr>
        <w:pStyle w:val="2"/>
        <w:spacing w:before="0" w:after="0" w:line="560" w:lineRule="exact"/>
        <w:jc w:val="center"/>
      </w:pPr>
      <w:r>
        <w:t>表1</w:t>
      </w:r>
      <w:r>
        <w:rPr>
          <w:rFonts w:hint="eastAsia"/>
        </w:rPr>
        <w:t>.</w:t>
      </w:r>
      <w:r>
        <w:t>综合评分表</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7E5E580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529C5920">
            <w:pPr>
              <w:spacing w:line="560" w:lineRule="exact"/>
              <w:ind w:firstLine="442"/>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DB14DC2">
            <w:pPr>
              <w:spacing w:line="560" w:lineRule="exact"/>
              <w:ind w:firstLine="442"/>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2A4B27EE">
            <w:pPr>
              <w:spacing w:line="560" w:lineRule="exact"/>
              <w:ind w:firstLine="442"/>
              <w:jc w:val="center"/>
              <w:rPr>
                <w:b/>
                <w:bCs/>
                <w:color w:val="000000"/>
                <w:sz w:val="22"/>
              </w:rPr>
            </w:pPr>
            <w:r>
              <w:rPr>
                <w:rFonts w:hint="eastAsia"/>
                <w:b/>
                <w:bCs/>
                <w:color w:val="000000"/>
                <w:sz w:val="22"/>
              </w:rPr>
              <w:t>得分</w:t>
            </w:r>
          </w:p>
        </w:tc>
      </w:tr>
      <w:tr w14:paraId="5B65806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470001">
            <w:pPr>
              <w:spacing w:line="560" w:lineRule="exact"/>
              <w:ind w:firstLine="440"/>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0B281262">
            <w:pPr>
              <w:spacing w:line="560" w:lineRule="exact"/>
              <w:ind w:firstLine="44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47A229E9">
            <w:pPr>
              <w:spacing w:line="560" w:lineRule="exact"/>
              <w:ind w:firstLine="440"/>
              <w:jc w:val="center"/>
              <w:rPr>
                <w:color w:val="000000"/>
                <w:sz w:val="22"/>
              </w:rPr>
            </w:pPr>
            <w:r>
              <w:rPr>
                <w:rFonts w:hint="eastAsia"/>
                <w:color w:val="000000"/>
                <w:sz w:val="22"/>
              </w:rPr>
              <w:t>20</w:t>
            </w:r>
          </w:p>
        </w:tc>
      </w:tr>
      <w:tr w14:paraId="430BF0C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AB338CA">
            <w:pPr>
              <w:spacing w:line="560" w:lineRule="exact"/>
              <w:ind w:firstLine="440"/>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4F64A7A4">
            <w:pPr>
              <w:spacing w:line="560" w:lineRule="exact"/>
              <w:ind w:firstLine="44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6C556EE8">
            <w:pPr>
              <w:spacing w:line="560" w:lineRule="exact"/>
              <w:ind w:firstLine="440"/>
              <w:jc w:val="center"/>
              <w:rPr>
                <w:color w:val="000000"/>
                <w:sz w:val="22"/>
              </w:rPr>
            </w:pPr>
            <w:r>
              <w:rPr>
                <w:rFonts w:hint="eastAsia"/>
                <w:color w:val="000000"/>
                <w:sz w:val="22"/>
              </w:rPr>
              <w:t>19.7</w:t>
            </w:r>
          </w:p>
        </w:tc>
      </w:tr>
      <w:tr w14:paraId="59FF40D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665880">
            <w:pPr>
              <w:spacing w:line="560" w:lineRule="exact"/>
              <w:ind w:firstLine="440"/>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E662352">
            <w:pPr>
              <w:spacing w:line="560" w:lineRule="exact"/>
              <w:ind w:firstLine="440"/>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14:paraId="0C8C44A7">
            <w:pPr>
              <w:spacing w:line="560" w:lineRule="exact"/>
              <w:ind w:firstLine="440"/>
              <w:jc w:val="center"/>
              <w:rPr>
                <w:color w:val="000000"/>
                <w:sz w:val="22"/>
              </w:rPr>
            </w:pPr>
            <w:r>
              <w:rPr>
                <w:rFonts w:hint="eastAsia"/>
                <w:color w:val="000000"/>
                <w:sz w:val="22"/>
              </w:rPr>
              <w:t>40</w:t>
            </w:r>
          </w:p>
        </w:tc>
      </w:tr>
      <w:tr w14:paraId="4045F74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D67647">
            <w:pPr>
              <w:spacing w:line="560" w:lineRule="exact"/>
              <w:ind w:firstLine="440"/>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70B2BB16">
            <w:pPr>
              <w:spacing w:line="560" w:lineRule="exact"/>
              <w:ind w:firstLine="440"/>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73C08447">
            <w:pPr>
              <w:spacing w:line="560" w:lineRule="exact"/>
              <w:ind w:firstLine="440"/>
              <w:jc w:val="center"/>
              <w:rPr>
                <w:color w:val="000000"/>
                <w:sz w:val="22"/>
              </w:rPr>
            </w:pPr>
            <w:r>
              <w:rPr>
                <w:rFonts w:hint="eastAsia"/>
                <w:color w:val="000000"/>
                <w:sz w:val="22"/>
              </w:rPr>
              <w:t>20</w:t>
            </w:r>
          </w:p>
        </w:tc>
      </w:tr>
      <w:tr w14:paraId="0A1D30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48D1F7">
            <w:pPr>
              <w:spacing w:line="560" w:lineRule="exact"/>
              <w:ind w:firstLine="442"/>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3EE7B82">
            <w:pPr>
              <w:spacing w:line="560" w:lineRule="exact"/>
              <w:ind w:firstLine="442"/>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5D868721">
            <w:pPr>
              <w:spacing w:line="560" w:lineRule="exact"/>
              <w:ind w:firstLine="442"/>
              <w:jc w:val="center"/>
              <w:rPr>
                <w:b/>
                <w:bCs/>
                <w:color w:val="000000"/>
                <w:sz w:val="22"/>
              </w:rPr>
            </w:pPr>
            <w:r>
              <w:rPr>
                <w:rFonts w:hint="eastAsia"/>
                <w:b/>
                <w:bCs/>
                <w:color w:val="000000"/>
                <w:sz w:val="22"/>
              </w:rPr>
              <w:t>99.7</w:t>
            </w:r>
          </w:p>
        </w:tc>
      </w:tr>
    </w:tbl>
    <w:p w14:paraId="45BCAC8B">
      <w:pPr>
        <w:spacing w:line="560" w:lineRule="exact"/>
        <w:ind w:firstLine="640" w:firstLineChars="200"/>
        <w:rPr>
          <w:rFonts w:eastAsia="黑体"/>
          <w:sz w:val="32"/>
          <w:szCs w:val="32"/>
        </w:rPr>
      </w:pPr>
    </w:p>
    <w:p w14:paraId="4A46EA3A">
      <w:pPr>
        <w:spacing w:line="560" w:lineRule="exact"/>
        <w:ind w:firstLine="640" w:firstLineChars="200"/>
        <w:rPr>
          <w:rFonts w:eastAsia="黑体"/>
          <w:sz w:val="32"/>
          <w:szCs w:val="32"/>
        </w:rPr>
      </w:pPr>
      <w:r>
        <w:rPr>
          <w:rFonts w:eastAsia="黑体"/>
          <w:sz w:val="32"/>
          <w:szCs w:val="32"/>
        </w:rPr>
        <w:t>四、绩效评价指标分析</w:t>
      </w:r>
    </w:p>
    <w:p w14:paraId="2E090D8D">
      <w:pPr>
        <w:pStyle w:val="2"/>
        <w:spacing w:line="560" w:lineRule="exact"/>
      </w:pPr>
      <w:r>
        <w:t>（一）项目决策情况</w:t>
      </w:r>
    </w:p>
    <w:p w14:paraId="3B6E28C5">
      <w:pPr>
        <w:spacing w:line="560" w:lineRule="exact"/>
        <w:ind w:firstLine="600" w:firstLineChars="200"/>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项目决策类指标包括项目立项、绩效目标和资金投入三方面的内容，由6个三级指标构成，权重分值为20分，实际得分20分，得分率为100%。</w:t>
      </w:r>
    </w:p>
    <w:p w14:paraId="3F26F4ED">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14:paraId="3B80F8FC">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79B27C90">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A31671C">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7D79050E">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0359FCF1">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14:paraId="16593FC6">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6C6441E2">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5075DDE">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28E95153">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14:paraId="07F76847">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14:paraId="4FD693DA">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2F3F8FBB">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14:paraId="5603E34A">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7BD6C006">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14:paraId="4CB807BD">
      <w:pPr>
        <w:pStyle w:val="2"/>
        <w:spacing w:before="0" w:after="0" w:line="560" w:lineRule="exact"/>
      </w:pPr>
      <w:r>
        <w:t>（</w:t>
      </w:r>
      <w:r>
        <w:rPr>
          <w:rFonts w:hint="eastAsia"/>
        </w:rPr>
        <w:t>二</w:t>
      </w:r>
      <w:r>
        <w:t>）</w:t>
      </w:r>
      <w:r>
        <w:rPr>
          <w:rFonts w:hint="eastAsia"/>
        </w:rPr>
        <w:t>项目过程情况</w:t>
      </w:r>
    </w:p>
    <w:p w14:paraId="103DD15B">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w:t>
      </w:r>
      <w:r>
        <w:rPr>
          <w:rFonts w:hint="eastAsia" w:ascii="宋体" w:hAnsi="宋体" w:cs="宋体"/>
          <w:sz w:val="32"/>
          <w:szCs w:val="32"/>
        </w:rPr>
        <w:t>5</w:t>
      </w:r>
      <w:r>
        <w:rPr>
          <w:rFonts w:hint="eastAsia" w:ascii="仿宋_GB2312" w:hAnsi="仿宋_GB2312" w:eastAsia="仿宋_GB2312" w:cs="仿宋_GB2312"/>
          <w:sz w:val="32"/>
          <w:szCs w:val="32"/>
        </w:rPr>
        <w:t>个三级指标构成，权重分值为20分，实际得分19.7分，得分率为98.5%。</w:t>
      </w:r>
    </w:p>
    <w:p w14:paraId="3C21D408">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F0F25DC">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14:paraId="038E4196">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2591B749">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本项目总投资16.22万元，财政资金及时足额到位，到位率100%，预算资金按计划进度执行。</w:t>
      </w:r>
    </w:p>
    <w:p w14:paraId="591042B5">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142FEBF5">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预算编制较为详细，项目资金支出总体能够按照预算执行，预算资金支出15万元，预算执行率为92.48%。</w:t>
      </w:r>
    </w:p>
    <w:p w14:paraId="477586DC">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6330257D">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5C167D9">
      <w:pPr>
        <w:pStyle w:val="19"/>
        <w:spacing w:line="560" w:lineRule="exact"/>
        <w:ind w:firstLine="641"/>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14:paraId="0CCC7841">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729E49AC">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E570E67">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2BD6A707">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3D3F2E5A">
      <w:pPr>
        <w:pStyle w:val="9"/>
        <w:spacing w:line="560" w:lineRule="exact"/>
        <w:ind w:firstLine="641"/>
        <w:rPr>
          <w:rFonts w:eastAsia="楷体_GB2312"/>
          <w:b/>
          <w:bCs/>
          <w:sz w:val="32"/>
          <w:szCs w:val="32"/>
        </w:rPr>
      </w:pPr>
      <w:r>
        <w:rPr>
          <w:rFonts w:hint="eastAsia" w:eastAsia="楷体_GB2312"/>
          <w:b/>
          <w:bCs/>
          <w:sz w:val="32"/>
          <w:szCs w:val="32"/>
        </w:rPr>
        <w:t>（三）</w:t>
      </w:r>
      <w:r>
        <w:rPr>
          <w:rFonts w:eastAsia="楷体_GB2312"/>
          <w:b/>
          <w:bCs/>
          <w:sz w:val="32"/>
          <w:szCs w:val="32"/>
        </w:rPr>
        <w:t>项目产出</w:t>
      </w:r>
      <w:r>
        <w:rPr>
          <w:rFonts w:hint="eastAsia" w:eastAsia="楷体_GB2312"/>
          <w:b/>
          <w:bCs/>
          <w:sz w:val="32"/>
          <w:szCs w:val="32"/>
        </w:rPr>
        <w:t>情况</w:t>
      </w:r>
    </w:p>
    <w:p w14:paraId="7FE19D51">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项目产出类指标包括产出数量、产出质量、产出时效、产出成本四方面的内容，由5个三级指标构成，权重分为40分，实际得分40分，得分率为100%。具体产出指标完成情况如下：</w:t>
      </w:r>
    </w:p>
    <w:p w14:paraId="5907B01B">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1.数量指标：</w:t>
      </w:r>
    </w:p>
    <w:p w14:paraId="5C384D15">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指标1：雇员工资发放人数，指标值：等于1人，实际完成值：1人 ，</w:t>
      </w:r>
      <w:r>
        <w:rPr>
          <w:rFonts w:hint="eastAsia" w:ascii="仿宋_GB2312" w:hAnsi="仿宋_GB2312" w:eastAsia="仿宋_GB2312" w:cs="仿宋_GB2312"/>
          <w:sz w:val="32"/>
          <w:szCs w:val="32"/>
          <w:lang w:eastAsia="zh-CN"/>
        </w:rPr>
        <w:t>全年发放</w:t>
      </w:r>
      <w:r>
        <w:rPr>
          <w:rFonts w:hint="eastAsia" w:ascii="仿宋_GB2312" w:hAnsi="仿宋_GB2312" w:eastAsia="仿宋_GB2312" w:cs="仿宋_GB2312"/>
          <w:sz w:val="32"/>
          <w:szCs w:val="32"/>
          <w:lang w:val="en-US" w:eastAsia="zh-CN"/>
        </w:rPr>
        <w:t>1名雇员的工资、社保、公积金费用，</w:t>
      </w:r>
      <w:r>
        <w:rPr>
          <w:rFonts w:hint="eastAsia" w:ascii="仿宋_GB2312" w:hAnsi="仿宋_GB2312" w:eastAsia="仿宋_GB2312" w:cs="仿宋_GB2312"/>
          <w:sz w:val="32"/>
          <w:szCs w:val="32"/>
        </w:rPr>
        <w:t>指标完成率100%。</w:t>
      </w:r>
    </w:p>
    <w:p w14:paraId="53B4FE00">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指标2：临聘人员工资发放人数，指标值：等于1人，实际完成值：1人 ，</w:t>
      </w:r>
      <w:r>
        <w:rPr>
          <w:rFonts w:hint="eastAsia" w:ascii="仿宋_GB2312" w:hAnsi="仿宋_GB2312" w:eastAsia="仿宋_GB2312" w:cs="仿宋_GB2312"/>
          <w:sz w:val="32"/>
          <w:szCs w:val="32"/>
          <w:lang w:eastAsia="zh-CN"/>
        </w:rPr>
        <w:t>全年发放</w:t>
      </w:r>
      <w:r>
        <w:rPr>
          <w:rFonts w:hint="eastAsia" w:ascii="仿宋_GB2312" w:hAnsi="仿宋_GB2312" w:eastAsia="仿宋_GB2312" w:cs="仿宋_GB2312"/>
          <w:sz w:val="32"/>
          <w:szCs w:val="32"/>
          <w:lang w:val="en-US" w:eastAsia="zh-CN"/>
        </w:rPr>
        <w:t>1名临聘人员的工资、社保费用，</w:t>
      </w:r>
      <w:r>
        <w:rPr>
          <w:rFonts w:hint="eastAsia" w:ascii="仿宋_GB2312" w:hAnsi="仿宋_GB2312" w:eastAsia="仿宋_GB2312" w:cs="仿宋_GB2312"/>
          <w:sz w:val="32"/>
          <w:szCs w:val="32"/>
        </w:rPr>
        <w:t>指标完成率100%。</w:t>
      </w:r>
    </w:p>
    <w:p w14:paraId="42B1F49F">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指标3：发放工资次数，指标值：等于12次，实际完成值：12次 ，</w:t>
      </w:r>
      <w:r>
        <w:rPr>
          <w:rFonts w:hint="eastAsia" w:ascii="仿宋_GB2312" w:hAnsi="仿宋_GB2312" w:eastAsia="仿宋_GB2312" w:cs="仿宋_GB2312"/>
          <w:sz w:val="32"/>
          <w:szCs w:val="32"/>
          <w:lang w:eastAsia="zh-CN"/>
        </w:rPr>
        <w:t>全年</w:t>
      </w:r>
      <w:r>
        <w:rPr>
          <w:rFonts w:hint="eastAsia" w:ascii="仿宋_GB2312" w:hAnsi="仿宋_GB2312" w:eastAsia="仿宋_GB2312" w:cs="仿宋_GB2312"/>
          <w:sz w:val="32"/>
          <w:szCs w:val="32"/>
          <w:lang w:val="en-US" w:eastAsia="zh-CN"/>
        </w:rPr>
        <w:t>1月-12月，按月发放工资，共计发放12次，</w:t>
      </w:r>
      <w:r>
        <w:rPr>
          <w:rFonts w:hint="eastAsia" w:ascii="仿宋_GB2312" w:hAnsi="仿宋_GB2312" w:eastAsia="仿宋_GB2312" w:cs="仿宋_GB2312"/>
          <w:sz w:val="32"/>
          <w:szCs w:val="32"/>
        </w:rPr>
        <w:t>指标完成率100%。</w:t>
      </w:r>
    </w:p>
    <w:p w14:paraId="2C72316C">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2.质量指标：</w:t>
      </w:r>
    </w:p>
    <w:p w14:paraId="6EDF3B4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指标1：资金使用准确率，指标值：大于等于95% ，实际完成值：100%，指标完成率105.26%。偏差原因：年初绩效目标设置不够精准，实际完成值与绩效目标值有偏差。改进措施：今后根据项目实施情况和历年完成值，进一步提高目标设定的精准性，降低指标偏差。</w:t>
      </w:r>
    </w:p>
    <w:p w14:paraId="4CF37FF6">
      <w:pPr>
        <w:spacing w:line="600" w:lineRule="exact"/>
        <w:ind w:firstLine="640" w:firstLineChars="200"/>
        <w:outlineLvl w:val="0"/>
        <w:rPr>
          <w:rFonts w:ascii="仿宋_GB2312" w:hAnsi="仿宋_GB2312" w:eastAsia="仿宋_GB2312" w:cs="仿宋_GB2312"/>
          <w:sz w:val="32"/>
          <w:szCs w:val="32"/>
        </w:rPr>
      </w:pPr>
      <w:r>
        <w:rPr>
          <w:rFonts w:hint="eastAsia" w:ascii="宋体" w:hAnsi="宋体" w:cs="宋体"/>
          <w:sz w:val="32"/>
          <w:szCs w:val="32"/>
        </w:rPr>
        <w:t>③</w:t>
      </w:r>
      <w:r>
        <w:rPr>
          <w:rFonts w:hint="eastAsia" w:ascii="___WRD_EMBED_SUB_39" w:hAnsi="___WRD_EMBED_SUB_39" w:eastAsia="___WRD_EMBED_SUB_39" w:cs="___WRD_EMBED_SUB_39"/>
          <w:sz w:val="32"/>
          <w:szCs w:val="32"/>
        </w:rPr>
        <w:t>时效指标：</w:t>
      </w:r>
    </w:p>
    <w:p w14:paraId="75A0E57F">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指标1：按月发放工资及时率，指标值：大于等于95% ，实际完成值：100%，指标完成率105.26%。偏差原因：年初绩效目标设置不够精准，实际完成值与绩效目标值有偏差。改进措施：今后根据项目实施情况和历年完成值，进一步提高目标设定的精准性，降低指标偏差。</w:t>
      </w:r>
    </w:p>
    <w:p w14:paraId="45DE14C6">
      <w:pPr>
        <w:spacing w:line="600" w:lineRule="exact"/>
        <w:ind w:firstLine="643" w:firstLineChars="200"/>
        <w:outlineLvl w:val="0"/>
        <w:rPr>
          <w:rFonts w:eastAsia="楷体_GB2312"/>
          <w:b/>
          <w:bCs/>
          <w:sz w:val="32"/>
          <w:szCs w:val="32"/>
        </w:rPr>
      </w:pPr>
      <w:r>
        <w:rPr>
          <w:rFonts w:hint="eastAsia" w:eastAsia="楷体_GB2312"/>
          <w:b/>
          <w:bCs/>
          <w:sz w:val="32"/>
          <w:szCs w:val="32"/>
        </w:rPr>
        <w:t>（四）项目效益情况</w:t>
      </w:r>
    </w:p>
    <w:p w14:paraId="2F66E720">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14:paraId="108346E3">
      <w:pPr>
        <w:spacing w:line="600" w:lineRule="exact"/>
        <w:ind w:firstLine="643" w:firstLineChars="200"/>
        <w:outlineLvl w:val="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1.实施效益</w:t>
      </w:r>
    </w:p>
    <w:p w14:paraId="5632F1ED">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14:paraId="6E03FE61">
      <w:pPr>
        <w:spacing w:line="56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rPr>
        <w:t>指标1：提高临聘人员工作积极性，指标值：有效提升，实际完成值：达成目标，指标完成率</w:t>
      </w:r>
      <w:r>
        <w:rPr>
          <w:rFonts w:hint="eastAsia" w:ascii="仿宋_GB2312" w:hAnsi="仿宋_GB2312" w:eastAsia="仿宋_GB2312" w:cs="仿宋_GB2312"/>
          <w:sz w:val="32"/>
          <w:szCs w:val="32"/>
          <w:highlight w:val="none"/>
        </w:rPr>
        <w:t>100%。按时、按标准发放临聘人员工资，有效提高了临聘人员工作效率及满意度，缓解了我单位人手不够的情况，保障单位工作正常运行，全面完成各项工作任务。偏差原因：无。</w:t>
      </w:r>
    </w:p>
    <w:p w14:paraId="7B7FE903">
      <w:pPr>
        <w:spacing w:line="56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2.满意度</w:t>
      </w:r>
    </w:p>
    <w:p w14:paraId="044674D5">
      <w:pPr>
        <w:spacing w:line="560" w:lineRule="exact"/>
        <w:ind w:firstLine="640" w:firstLineChars="200"/>
        <w:outlineLvl w:val="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①满意度指标</w:t>
      </w:r>
    </w:p>
    <w:p w14:paraId="2B289D6E">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指标1：人员满意度，指标值：大于等于95%，</w:t>
      </w:r>
      <w:r>
        <w:rPr>
          <w:rFonts w:hint="eastAsia" w:ascii="仿宋_GB2312" w:hAnsi="仿宋_GB2312" w:eastAsia="仿宋_GB2312" w:cs="仿宋_GB2312"/>
          <w:sz w:val="32"/>
          <w:szCs w:val="32"/>
          <w:highlight w:val="none"/>
          <w:lang w:eastAsia="zh-CN"/>
        </w:rPr>
        <w:t>本次共计发放调查问卷</w:t>
      </w:r>
      <w:r>
        <w:rPr>
          <w:rFonts w:hint="eastAsia" w:ascii="仿宋_GB2312" w:hAnsi="仿宋_GB2312" w:eastAsia="仿宋_GB2312" w:cs="仿宋_GB2312"/>
          <w:sz w:val="32"/>
          <w:szCs w:val="32"/>
          <w:highlight w:val="none"/>
          <w:lang w:val="en-US" w:eastAsia="zh-CN"/>
        </w:rPr>
        <w:t>21份，收回21份，根据调查问卷题目3科技局的整体满意程度得分情况作为满意度指标的完成值。</w:t>
      </w:r>
      <w:r>
        <w:rPr>
          <w:rFonts w:hint="eastAsia" w:ascii="仿宋_GB2312" w:hAnsi="仿宋_GB2312" w:eastAsia="仿宋_GB2312" w:cs="仿宋_GB2312"/>
          <w:sz w:val="32"/>
          <w:szCs w:val="32"/>
          <w:highlight w:val="none"/>
        </w:rPr>
        <w:t>实际完成值：99.05%，指标完成率104.26%。偏差原因：全年准确使</w:t>
      </w:r>
      <w:r>
        <w:rPr>
          <w:rFonts w:hint="eastAsia" w:ascii="仿宋_GB2312" w:hAnsi="仿宋_GB2312" w:eastAsia="仿宋_GB2312" w:cs="仿宋_GB2312"/>
          <w:sz w:val="32"/>
          <w:szCs w:val="32"/>
        </w:rPr>
        <w:t>用资金，年初绩效目标设置不够精准，实际完成值与绩效目标值有偏差，人员非常满意，经过问卷调查，满意度达99.05%。改进措施：今后根据项目实施情况和历年完成值，进一步提高目标设定的精准性，降低指标偏差。</w:t>
      </w:r>
    </w:p>
    <w:p w14:paraId="06EF4335">
      <w:pPr>
        <w:spacing w:line="560" w:lineRule="exact"/>
        <w:ind w:firstLine="640" w:firstLineChars="200"/>
        <w:rPr>
          <w:rStyle w:val="18"/>
          <w:rFonts w:ascii="Times New Roman" w:hAnsi="Times New Roman" w:cs="Times New Roman"/>
          <w:color w:val="auto"/>
        </w:rPr>
      </w:pPr>
      <w:r>
        <w:rPr>
          <w:rFonts w:hint="eastAsia" w:eastAsia="黑体"/>
          <w:sz w:val="32"/>
          <w:szCs w:val="32"/>
        </w:rPr>
        <w:t>五</w:t>
      </w:r>
      <w:r>
        <w:rPr>
          <w:rFonts w:eastAsia="黑体"/>
          <w:sz w:val="32"/>
          <w:szCs w:val="32"/>
        </w:rPr>
        <w:t>、主要经验及做法、存在的问题及原因分析</w:t>
      </w:r>
    </w:p>
    <w:p w14:paraId="6BFA19C5">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769996D9">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4B332A3">
      <w:pPr>
        <w:pStyle w:val="2"/>
        <w:spacing w:before="0" w:after="0" w:line="560" w:lineRule="exact"/>
        <w:ind w:firstLine="641"/>
        <w:rPr>
          <w:rFonts w:ascii="Times New Roman" w:hAnsi="Times New Roman" w:eastAsia="仿宋_GB2312"/>
          <w:b w:val="0"/>
          <w:bCs w:val="0"/>
          <w:kern w:val="2"/>
        </w:rPr>
      </w:pPr>
      <w:r>
        <w:rPr>
          <w:rFonts w:hint="eastAsia" w:ascii="Times New Roman" w:hAnsi="Times New Roman" w:eastAsia="仿宋_GB2312"/>
          <w:b w:val="0"/>
          <w:bCs w:val="0"/>
          <w:kern w:val="2"/>
        </w:rPr>
        <w:t>1.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w:t>
      </w:r>
    </w:p>
    <w:p w14:paraId="49AC7C42">
      <w:pPr>
        <w:pStyle w:val="2"/>
        <w:spacing w:before="0" w:after="0" w:line="560" w:lineRule="exact"/>
        <w:ind w:firstLine="641"/>
        <w:rPr>
          <w:rFonts w:ascii="Times New Roman" w:hAnsi="Times New Roman" w:eastAsia="仿宋_GB2312"/>
          <w:b w:val="0"/>
          <w:bCs w:val="0"/>
          <w:kern w:val="2"/>
        </w:rPr>
      </w:pPr>
      <w:r>
        <w:rPr>
          <w:rFonts w:hint="eastAsia" w:ascii="Times New Roman" w:hAnsi="Times New Roman" w:eastAsia="仿宋_GB2312"/>
          <w:b w:val="0"/>
          <w:bCs w:val="0"/>
          <w:kern w:val="2"/>
        </w:rPr>
        <w:t>2.加强专项资金绩效管理。通过专项绩效评价工作的开展，进一步加强专项支出的绩效管理，完善业务和财务管理制度，健全和落实财务监控机制，有效提高专项资金的使用效益和效率，确保财政资金的使用绩效。</w:t>
      </w:r>
    </w:p>
    <w:p w14:paraId="64AEA2D4">
      <w:pPr>
        <w:pStyle w:val="2"/>
        <w:spacing w:before="0" w:after="0" w:line="560" w:lineRule="exact"/>
        <w:ind w:firstLine="641"/>
        <w:rPr>
          <w:rFonts w:ascii="Times New Roman" w:hAnsi="Times New Roman" w:eastAsia="仿宋_GB2312"/>
          <w:b w:val="0"/>
          <w:bCs w:val="0"/>
          <w:kern w:val="2"/>
        </w:rPr>
      </w:pPr>
      <w:r>
        <w:rPr>
          <w:rFonts w:hint="eastAsia" w:ascii="Times New Roman" w:hAnsi="Times New Roman" w:eastAsia="仿宋_GB2312"/>
          <w:b w:val="0"/>
          <w:bCs w:val="0"/>
          <w:kern w:val="2"/>
        </w:rPr>
        <w:t>3.科学安排项目预算。根据下一年度的工作计划，提前预算，规范操作、严格控制开支范围，节约成本，提高效率。</w:t>
      </w:r>
    </w:p>
    <w:p w14:paraId="7C6365BC">
      <w:pPr>
        <w:spacing w:line="560" w:lineRule="exact"/>
        <w:ind w:firstLine="627" w:firstLineChars="200"/>
        <w:rPr>
          <w:rFonts w:eastAsia="楷体"/>
          <w:b/>
          <w:spacing w:val="-4"/>
          <w:sz w:val="32"/>
          <w:szCs w:val="32"/>
        </w:rPr>
      </w:pPr>
      <w:r>
        <w:rPr>
          <w:rFonts w:eastAsia="楷体"/>
          <w:b/>
          <w:spacing w:val="-4"/>
          <w:sz w:val="32"/>
          <w:szCs w:val="32"/>
        </w:rPr>
        <w:t>（</w:t>
      </w:r>
      <w:r>
        <w:rPr>
          <w:rFonts w:hint="eastAsia" w:eastAsia="楷体"/>
          <w:b/>
          <w:spacing w:val="-4"/>
          <w:sz w:val="32"/>
          <w:szCs w:val="32"/>
        </w:rPr>
        <w:t>二</w:t>
      </w:r>
      <w:r>
        <w:rPr>
          <w:rFonts w:eastAsia="楷体"/>
          <w:b/>
          <w:spacing w:val="-4"/>
          <w:sz w:val="32"/>
          <w:szCs w:val="32"/>
        </w:rPr>
        <w:t>）存在的问题及原因分析</w:t>
      </w:r>
    </w:p>
    <w:p w14:paraId="62F09D35">
      <w:pPr>
        <w:spacing w:line="56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工程项目中某个环节的管理力度不足，从而导致工程项目中部分项目缺乏科学有效的管理。</w:t>
      </w:r>
    </w:p>
    <w:p w14:paraId="19CA8256">
      <w:pPr>
        <w:spacing w:line="560" w:lineRule="exact"/>
        <w:ind w:firstLine="640" w:firstLineChars="200"/>
        <w:rPr>
          <w:rFonts w:eastAsia="仿宋_GB2312"/>
          <w:sz w:val="32"/>
          <w:szCs w:val="32"/>
        </w:rPr>
      </w:pPr>
      <w:r>
        <w:rPr>
          <w:rFonts w:hint="eastAsia" w:eastAsia="仿宋_GB2312"/>
          <w:sz w:val="32"/>
          <w:szCs w:val="32"/>
        </w:rPr>
        <w:t>2.管理形式单一。虽然在项目管理方面取得一定创新，管理人员素质得到提升、管理执行力度更强，但是从实际工作情况来看，依然存在着管理形式过于单一的问题，管理形式没有得到全面创新，缺乏对新技术、新平台的应用。</w:t>
      </w:r>
    </w:p>
    <w:p w14:paraId="27DFDA2D">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3F8334A2">
      <w:pPr>
        <w:spacing w:line="560" w:lineRule="exact"/>
        <w:ind w:firstLine="640" w:firstLineChars="200"/>
        <w:rPr>
          <w:rFonts w:eastAsia="仿宋_GB2312"/>
          <w:sz w:val="32"/>
          <w:szCs w:val="32"/>
        </w:rPr>
      </w:pPr>
      <w:r>
        <w:rPr>
          <w:rFonts w:hint="eastAsia" w:eastAsia="仿宋_GB2312"/>
          <w:sz w:val="32"/>
          <w:szCs w:val="32"/>
        </w:rPr>
        <w:t>（一）严格履行本单位职责，制定业务管理制度。通过健全业务管理制度，加强本单位各项业务的管理工作，建立规范化、科学化的管理体制，提高项目管理质量，降低项目实施风险，加强对项目顺利实施的保障作用。</w:t>
      </w:r>
    </w:p>
    <w:p w14:paraId="4CBBBFD7">
      <w:pPr>
        <w:spacing w:line="560" w:lineRule="exact"/>
        <w:ind w:firstLine="640" w:firstLineChars="200"/>
        <w:rPr>
          <w:rFonts w:eastAsia="仿宋_GB2312"/>
          <w:sz w:val="32"/>
          <w:szCs w:val="32"/>
        </w:rPr>
      </w:pPr>
      <w:r>
        <w:rPr>
          <w:rFonts w:hint="eastAsia" w:eastAsia="仿宋_GB2312"/>
          <w:sz w:val="32"/>
          <w:szCs w:val="32"/>
        </w:rPr>
        <w:t>（二）提高预算执行进度，发挥资金使用效益，根据项目实施进度申请相应资金预算，提高项目进度与预算申请匹配度，避免过多占用财政资金，造成财政资金浪费。</w:t>
      </w:r>
    </w:p>
    <w:p w14:paraId="1A27DBB6">
      <w:pPr>
        <w:spacing w:line="560" w:lineRule="exact"/>
        <w:ind w:firstLine="640" w:firstLineChars="200"/>
        <w:rPr>
          <w:rFonts w:eastAsia="仿宋_GB2312"/>
          <w:sz w:val="32"/>
          <w:szCs w:val="32"/>
        </w:rPr>
      </w:pPr>
      <w:r>
        <w:rPr>
          <w:rFonts w:hint="eastAsia" w:eastAsia="仿宋_GB2312"/>
          <w:sz w:val="32"/>
          <w:szCs w:val="32"/>
        </w:rPr>
        <w:t>（三）做好财务核算，强化财政资金管理实施单位应压实管理责任，做好财政资金拨付到位的监督审查工作，强化财政资金管理，保证项目资金做到专款专用，规范 资金运行，坚决杜绝截留、挤占、挪用、虚列支出等现象发生。</w:t>
      </w:r>
    </w:p>
    <w:p w14:paraId="52283AC8">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其他需要说明的问题</w:t>
      </w:r>
    </w:p>
    <w:p w14:paraId="52B929ED">
      <w:pPr>
        <w:spacing w:line="560" w:lineRule="exact"/>
        <w:ind w:firstLine="640" w:firstLineChars="200"/>
        <w:rPr>
          <w:rFonts w:hint="eastAsia" w:eastAsia="仿宋_GB2312"/>
          <w:sz w:val="32"/>
          <w:szCs w:val="32"/>
        </w:rPr>
      </w:pPr>
      <w:r>
        <w:rPr>
          <w:rFonts w:hint="eastAsia" w:eastAsia="仿宋_GB2312"/>
          <w:sz w:val="32"/>
          <w:szCs w:val="32"/>
        </w:rPr>
        <w:t>1.项目支出政策和路径设计科学，符合实际需要；</w:t>
      </w:r>
    </w:p>
    <w:p w14:paraId="44349F39">
      <w:pPr>
        <w:spacing w:line="560" w:lineRule="exact"/>
        <w:ind w:firstLine="640" w:firstLineChars="200"/>
        <w:rPr>
          <w:rFonts w:hint="eastAsia" w:eastAsia="仿宋_GB2312"/>
          <w:sz w:val="32"/>
          <w:szCs w:val="32"/>
        </w:rPr>
      </w:pPr>
      <w:r>
        <w:rPr>
          <w:rFonts w:hint="eastAsia" w:eastAsia="仿宋_GB2312"/>
          <w:sz w:val="32"/>
          <w:szCs w:val="32"/>
        </w:rPr>
        <w:t>2.项目安排准确，未发现背离项目立项初衷的情况；</w:t>
      </w:r>
    </w:p>
    <w:p w14:paraId="006B6B95">
      <w:pPr>
        <w:spacing w:line="560" w:lineRule="exact"/>
        <w:ind w:firstLine="640" w:firstLineChars="200"/>
        <w:rPr>
          <w:rFonts w:hint="eastAsia" w:eastAsia="黑体"/>
          <w:sz w:val="32"/>
          <w:szCs w:val="32"/>
        </w:rPr>
      </w:pPr>
      <w:r>
        <w:rPr>
          <w:rFonts w:hint="eastAsia" w:eastAsia="仿宋_GB2312"/>
          <w:sz w:val="32"/>
          <w:szCs w:val="32"/>
          <w:lang w:val="en-US" w:eastAsia="zh-CN"/>
        </w:rPr>
        <w:t>3</w:t>
      </w:r>
      <w:r>
        <w:rPr>
          <w:rFonts w:hint="eastAsia" w:eastAsia="仿宋_GB2312"/>
          <w:sz w:val="32"/>
          <w:szCs w:val="32"/>
        </w:rPr>
        <w:t>.未发现虚假行为和骗</w:t>
      </w:r>
      <w:bookmarkStart w:id="0" w:name="_GoBack"/>
      <w:bookmarkEnd w:id="0"/>
      <w:r>
        <w:rPr>
          <w:rFonts w:hint="eastAsia" w:eastAsia="仿宋_GB2312"/>
          <w:sz w:val="32"/>
          <w:szCs w:val="32"/>
        </w:rPr>
        <w:t>取财政资金的问题。</w:t>
      </w:r>
    </w:p>
    <w:p w14:paraId="40785075">
      <w:pPr>
        <w:ind w:firstLine="420"/>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52F723-7D37-4289-9131-206C493E2F7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DB056BB7-9CED-45C9-951B-9F0E5DA64427}"/>
  </w:font>
  <w:font w:name="Arial">
    <w:panose1 w:val="020B0604020202020204"/>
    <w:charset w:val="00"/>
    <w:family w:val="auto"/>
    <w:pitch w:val="default"/>
    <w:sig w:usb0="E0002EFF" w:usb1="C000785B" w:usb2="00000009" w:usb3="00000000" w:csb0="400001FF" w:csb1="FFFF0000"/>
    <w:embedRegular r:id="rId3" w:fontKey="{DE875DDB-4E38-4ECF-9975-949BDBFE9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4" w:fontKey="{AB046FC5-F3DC-43EA-AAA0-791D39FFF0F7}"/>
  </w:font>
  <w:font w:name="华文中宋">
    <w:panose1 w:val="02010600040101010101"/>
    <w:charset w:val="86"/>
    <w:family w:val="auto"/>
    <w:pitch w:val="default"/>
    <w:sig w:usb0="00000287" w:usb1="080F0000" w:usb2="00000000" w:usb3="00000000" w:csb0="0004009F" w:csb1="DFD70000"/>
    <w:embedRegular r:id="rId5" w:fontKey="{A0A92730-5931-49E3-88A6-D66A3211E300}"/>
  </w:font>
  <w:font w:name="方正小标宋_GBK">
    <w:panose1 w:val="02000000000000000000"/>
    <w:charset w:val="86"/>
    <w:family w:val="script"/>
    <w:pitch w:val="default"/>
    <w:sig w:usb0="A00002BF" w:usb1="38CF7CFA" w:usb2="00082016" w:usb3="00000000" w:csb0="00040001" w:csb1="00000000"/>
    <w:embedRegular r:id="rId6" w:fontKey="{7D3AC83C-9BBA-477C-A89A-72831B66C53C}"/>
  </w:font>
  <w:font w:name="楷体_GB2312">
    <w:panose1 w:val="02010609030101010101"/>
    <w:charset w:val="86"/>
    <w:family w:val="auto"/>
    <w:pitch w:val="default"/>
    <w:sig w:usb0="00000001" w:usb1="080E0000" w:usb2="00000000" w:usb3="00000000" w:csb0="00040000" w:csb1="00000000"/>
    <w:embedRegular r:id="rId7" w:fontKey="{995C9264-E3C1-4549-8CD3-2E293B488C64}"/>
  </w:font>
  <w:font w:name="方正仿宋_GBK">
    <w:panose1 w:val="02000000000000000000"/>
    <w:charset w:val="86"/>
    <w:family w:val="script"/>
    <w:pitch w:val="default"/>
    <w:sig w:usb0="A00002BF" w:usb1="38CF7CFA" w:usb2="00082016" w:usb3="00000000" w:csb0="00040001" w:csb1="00000000"/>
    <w:embedRegular r:id="rId8" w:fontKey="{2A258CE1-38CE-4157-AFF7-87C4F3A2CB46}"/>
  </w:font>
  <w:font w:name="___WRD_EMBED_SUB_39">
    <w:panose1 w:val="02010609030101010101"/>
    <w:charset w:val="86"/>
    <w:family w:val="modern"/>
    <w:pitch w:val="default"/>
    <w:sig w:usb0="00000001" w:usb1="080E0000" w:usb2="00000000" w:usb3="00000000" w:csb0="00040000" w:csb1="00000000"/>
    <w:embedRegular r:id="rId9" w:fontKey="{9911DF3E-EE0E-4E00-848E-6057C3B2959B}"/>
  </w:font>
  <w:font w:name="楷体">
    <w:panose1 w:val="02010609060101010101"/>
    <w:charset w:val="86"/>
    <w:family w:val="modern"/>
    <w:pitch w:val="default"/>
    <w:sig w:usb0="800002BF" w:usb1="38CF7CFA" w:usb2="00000016" w:usb3="00000000" w:csb0="00040001" w:csb1="00000000"/>
    <w:embedRegular r:id="rId10" w:fontKey="{498024BE-A041-4C75-8E55-97EBB5E07FD6}"/>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92970"/>
    </w:sdtPr>
    <w:sdtContent>
      <w:p w14:paraId="5780FE5B">
        <w:pPr>
          <w:pStyle w:val="7"/>
          <w:jc w:val="center"/>
        </w:pPr>
        <w:r>
          <w:fldChar w:fldCharType="begin"/>
        </w:r>
        <w:r>
          <w:instrText xml:space="preserve">PAGE   \* MERGEFORMAT</w:instrText>
        </w:r>
        <w:r>
          <w:fldChar w:fldCharType="separate"/>
        </w:r>
        <w:r>
          <w:rPr>
            <w:lang w:val="zh-CN"/>
          </w:rPr>
          <w:t>20</w:t>
        </w:r>
        <w:r>
          <w:rPr>
            <w:lang w:val="zh-CN"/>
          </w:rPr>
          <w:fldChar w:fldCharType="end"/>
        </w:r>
      </w:p>
    </w:sdtContent>
  </w:sdt>
  <w:p w14:paraId="4CFC79AC">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3"/>
      <w:numFmt w:val="chineseCounting"/>
      <w:suff w:val="nothing"/>
      <w:lvlText w:val="%1、"/>
      <w:lvlJc w:val="left"/>
      <w:rPr>
        <w:rFonts w:hint="eastAsia"/>
      </w:rPr>
    </w:lvl>
  </w:abstractNum>
  <w:abstractNum w:abstractNumId="1">
    <w:nsid w:val="0053208E"/>
    <w:multiLevelType w:val="singleLevel"/>
    <w:tmpl w:val="0053208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kzYTY1ODhmZjRiY2MxNDhlNzhkN2RkNzk0ZmMyNjIifQ=="/>
  </w:docVars>
  <w:rsids>
    <w:rsidRoot w:val="00000000"/>
    <w:rsid w:val="29D31A96"/>
    <w:rsid w:val="41D0217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ind w:firstLine="643"/>
      <w:jc w:val="left"/>
      <w:outlineLvl w:val="0"/>
    </w:pPr>
    <w:rPr>
      <w:rFonts w:asciiTheme="majorHAnsi" w:hAnsiTheme="majorHAnsi" w:eastAsiaTheme="majorEastAsia"/>
      <w:b/>
      <w:bCs/>
      <w:kern w:val="28"/>
      <w:sz w:val="32"/>
      <w:szCs w:val="32"/>
    </w:r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20"/>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autoRedefine/>
    <w:qFormat/>
    <w:uiPriority w:val="0"/>
    <w:pPr>
      <w:spacing w:after="0"/>
      <w:ind w:firstLine="200" w:firstLineChars="200"/>
    </w:pPr>
  </w:style>
  <w:style w:type="paragraph" w:styleId="10">
    <w:name w:val="Body Text First Indent 2"/>
    <w:basedOn w:val="5"/>
    <w:autoRedefine/>
    <w:qFormat/>
    <w:uiPriority w:val="0"/>
    <w:pPr>
      <w:ind w:firstLine="420" w:firstLineChars="200"/>
    </w:pPr>
  </w:style>
  <w:style w:type="table" w:styleId="12">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Strong"/>
    <w:basedOn w:val="13"/>
    <w:autoRedefine/>
    <w:qFormat/>
    <w:uiPriority w:val="0"/>
    <w:rPr>
      <w:b/>
      <w:bCs/>
    </w:rPr>
  </w:style>
  <w:style w:type="paragraph" w:customStyle="1" w:styleId="15">
    <w:name w:val="Comment Text"/>
    <w:basedOn w:val="1"/>
    <w:link w:val="22"/>
    <w:autoRedefine/>
    <w:qFormat/>
    <w:uiPriority w:val="0"/>
    <w:pPr>
      <w:jc w:val="left"/>
    </w:pPr>
  </w:style>
  <w:style w:type="paragraph" w:customStyle="1" w:styleId="16">
    <w:name w:val="Comment Subject"/>
    <w:basedOn w:val="15"/>
    <w:next w:val="15"/>
    <w:link w:val="23"/>
    <w:autoRedefine/>
    <w:qFormat/>
    <w:uiPriority w:val="0"/>
    <w:rPr>
      <w:b/>
      <w:bCs/>
    </w:rPr>
  </w:style>
  <w:style w:type="character" w:customStyle="1" w:styleId="17">
    <w:name w:val="Comment Reference"/>
    <w:basedOn w:val="13"/>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Char"/>
    <w:basedOn w:val="13"/>
    <w:link w:val="6"/>
    <w:autoRedefine/>
    <w:qFormat/>
    <w:uiPriority w:val="0"/>
    <w:rPr>
      <w:rFonts w:ascii="Times New Roman" w:hAnsi="Times New Roman" w:eastAsia="宋体" w:cs="Times New Roman"/>
      <w:kern w:val="2"/>
      <w:sz w:val="18"/>
      <w:szCs w:val="18"/>
    </w:rPr>
  </w:style>
  <w:style w:type="character" w:customStyle="1" w:styleId="21">
    <w:name w:val="页眉 Char"/>
    <w:basedOn w:val="13"/>
    <w:link w:val="8"/>
    <w:autoRedefine/>
    <w:qFormat/>
    <w:uiPriority w:val="0"/>
    <w:rPr>
      <w:rFonts w:ascii="Times New Roman" w:hAnsi="Times New Roman" w:eastAsia="宋体" w:cs="Times New Roman"/>
      <w:kern w:val="2"/>
      <w:sz w:val="18"/>
      <w:szCs w:val="18"/>
    </w:rPr>
  </w:style>
  <w:style w:type="character" w:customStyle="1" w:styleId="22">
    <w:name w:val="批注文字 Char"/>
    <w:basedOn w:val="13"/>
    <w:link w:val="15"/>
    <w:autoRedefine/>
    <w:qFormat/>
    <w:uiPriority w:val="0"/>
    <w:rPr>
      <w:rFonts w:ascii="Times New Roman" w:hAnsi="Times New Roman" w:eastAsia="宋体" w:cs="Times New Roman"/>
      <w:kern w:val="2"/>
      <w:sz w:val="21"/>
      <w:szCs w:val="24"/>
    </w:rPr>
  </w:style>
  <w:style w:type="character" w:customStyle="1" w:styleId="23">
    <w:name w:val="批注主题 Char"/>
    <w:basedOn w:val="22"/>
    <w:link w:val="16"/>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35462C0B3FB543198819AAAFD75799DD_13</vt:lpwstr>
  </property>
  <property fmtid="{D5CDD505-2E9C-101B-9397-08002B2CF9AE}" pid="4" name="KSOTemplateDocerSaveRecord">
    <vt:lpwstr>eyJoZGlkIjoiMGFlNWJhMTRhYjQ3MDNhNmQ5M2ZlNTdlY2JhMmI2YzUifQ==</vt:lpwstr>
  </property>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55559-2a11-4ce2-b3f1-5b807f553a76}">
  <ds:schemaRefs/>
</ds:datastoreItem>
</file>

<file path=customXml/itemProps2.xml><?xml version="1.0" encoding="utf-8"?>
<ds:datastoreItem xmlns:ds="http://schemas.openxmlformats.org/officeDocument/2006/customXml" ds:itemID="{73BF59F7-F10A-40AE-AFB0-78295D71FE8E}">
  <ds:schemaRefs/>
</ds:datastoreItem>
</file>

<file path=docProps/app.xml><?xml version="1.0" encoding="utf-8"?>
<Properties xmlns="http://schemas.openxmlformats.org/officeDocument/2006/extended-properties" xmlns:vt="http://schemas.openxmlformats.org/officeDocument/2006/docPropsVTypes">
  <Template>Normal</Template>
  <Pages>16</Pages>
  <Words>7237</Words>
  <Characters>7526</Characters>
  <Lines>75</Lines>
  <Paragraphs>21</Paragraphs>
  <TotalTime>29</TotalTime>
  <ScaleCrop>false</ScaleCrop>
  <LinksUpToDate>false</LinksUpToDate>
  <CharactersWithSpaces>7535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2025-11-05T03:51:32Z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35462C0B3FB543198819AAAFD75799DD_13</vt:lpwstr>
  </property>
  <property fmtid="{D5CDD505-2E9C-101B-9397-08002B2CF9AE}" pid="4" name="KSOTemplateDocerSaveRecord">
    <vt:lpwstr>eyJoZGlkIjoiMGFlNWJhMTRhYjQ3MDNhNmQ5M2ZlNTdlY2JhMmI2YzUifQ_x003D__x003D_</vt:lpwstr>
  </property>
</Properties>
</file>